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FB5A45F" wp14:editId="166F8DF5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97pt" o:ole="">
            <v:imagedata r:id="rId12" o:title=""/>
          </v:shape>
          <o:OLEObject Type="Embed" ProgID="Imaging.Document" ShapeID="_x0000_i1025" DrawAspect="Content" ObjectID="_1696236568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ED20C9">
        <w:tc>
          <w:tcPr>
            <w:tcW w:w="1908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0D4A06" w:rsidRDefault="000D4A06" w:rsidP="008878A1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0D4A06">
              <w:rPr>
                <w:rFonts w:ascii="Arial" w:hAnsi="Arial" w:cs="Arial"/>
                <w:bCs/>
                <w:szCs w:val="20"/>
                <w:lang w:eastAsia="en-US"/>
              </w:rPr>
              <w:t>Community Services</w:t>
            </w: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0D4A06" w:rsidRPr="000D4A06" w:rsidRDefault="000E7906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Grant Review</w:t>
            </w:r>
          </w:p>
        </w:tc>
        <w:tc>
          <w:tcPr>
            <w:tcW w:w="1829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1F515A" w:rsidRPr="000D4A06" w:rsidRDefault="000D4A06" w:rsidP="008878A1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0D4A06">
              <w:rPr>
                <w:rFonts w:ascii="Arial" w:hAnsi="Arial" w:cs="Arial"/>
                <w:bCs/>
                <w:szCs w:val="20"/>
                <w:lang w:eastAsia="en-US"/>
              </w:rPr>
              <w:t>11 June 2021</w:t>
            </w:r>
            <w:r w:rsidR="002B788C">
              <w:rPr>
                <w:rFonts w:ascii="Arial" w:hAnsi="Arial" w:cs="Arial"/>
                <w:bCs/>
                <w:szCs w:val="20"/>
                <w:lang w:eastAsia="en-US"/>
              </w:rPr>
              <w:t xml:space="preserve"> </w:t>
            </w: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0D4A06" w:rsidRDefault="000D4A06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0D4A06">
              <w:rPr>
                <w:rFonts w:ascii="Arial" w:hAnsi="Arial" w:cs="Arial"/>
                <w:bCs/>
                <w:szCs w:val="20"/>
                <w:lang w:eastAsia="en-US"/>
              </w:rPr>
              <w:t>Paula Redway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Pr="000D4A06" w:rsidRDefault="000D4A06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0D4A06">
              <w:rPr>
                <w:rFonts w:ascii="Arial" w:hAnsi="Arial" w:cs="Arial"/>
                <w:bCs/>
                <w:szCs w:val="20"/>
                <w:lang w:eastAsia="en-US"/>
              </w:rPr>
              <w:t>11 June 2021</w:t>
            </w:r>
          </w:p>
          <w:p w:rsidR="001F515A" w:rsidRPr="001F515A" w:rsidRDefault="001F515A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:rsidR="001F515A" w:rsidRPr="0054009D" w:rsidRDefault="000C4259" w:rsidP="000E7906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Communities </w:t>
            </w:r>
            <w:r w:rsidR="000D4A06">
              <w:rPr>
                <w:rFonts w:ascii="Arial" w:hAnsi="Arial" w:cs="Arial"/>
                <w:szCs w:val="20"/>
                <w:lang w:eastAsia="en-US"/>
              </w:rPr>
              <w:t>Grant</w:t>
            </w:r>
            <w:r>
              <w:rPr>
                <w:rFonts w:ascii="Arial" w:hAnsi="Arial" w:cs="Arial"/>
                <w:szCs w:val="20"/>
                <w:lang w:eastAsia="en-US"/>
              </w:rPr>
              <w:t>s</w:t>
            </w:r>
            <w:r w:rsidR="000D4A0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Strategic </w:t>
            </w:r>
            <w:r w:rsidR="000D4A06">
              <w:rPr>
                <w:rFonts w:ascii="Arial" w:hAnsi="Arial" w:cs="Arial"/>
                <w:szCs w:val="20"/>
                <w:lang w:eastAsia="en-US"/>
              </w:rPr>
              <w:t xml:space="preserve">review </w:t>
            </w:r>
          </w:p>
        </w:tc>
      </w:tr>
      <w:tr w:rsidR="0054009D" w:rsidRPr="001F515A" w:rsidTr="00ED20C9">
        <w:trPr>
          <w:trHeight w:val="96"/>
        </w:trPr>
        <w:tc>
          <w:tcPr>
            <w:tcW w:w="4219" w:type="dxa"/>
            <w:gridSpan w:val="4"/>
            <w:vMerge w:val="restart"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1F515A" w:rsidRDefault="00ED20C9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√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 reassignment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Pregnancy and Maternity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475E86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Default="00E93EC7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</w:t>
            </w:r>
            <w:r w:rsidR="001F515A"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Welfare of Children and vulnerable adults</w:t>
            </w:r>
            <w:r w:rsidR="00415B2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  <w:p w:rsidR="00DB0023" w:rsidRPr="0054009D" w:rsidRDefault="00DB0023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Housing and Homelessness Strategy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Default="00415B2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Anti-Racism Charter √</w:t>
            </w:r>
          </w:p>
          <w:p w:rsidR="00E93EC7" w:rsidRDefault="00E93EC7" w:rsidP="00E93EC7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Oxford City Council </w:t>
            </w:r>
          </w:p>
          <w:p w:rsidR="00E93EC7" w:rsidRDefault="00E93EC7" w:rsidP="00E93EC7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Strategy √ </w:t>
            </w:r>
          </w:p>
          <w:p w:rsidR="00DB0023" w:rsidRPr="0054009D" w:rsidRDefault="00DB0023" w:rsidP="00E93EC7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415B2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Mental </w:t>
            </w:r>
            <w:r w:rsidR="00E93EC7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Wellbeing/</w:t>
            </w: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Community Resilience</w:t>
            </w: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 √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Give the background information to the </w:t>
            </w:r>
            <w:r w:rsidR="000C4259">
              <w:rPr>
                <w:rFonts w:ascii="Arial" w:hAnsi="Arial" w:cs="Arial"/>
                <w:szCs w:val="20"/>
                <w:lang w:eastAsia="en-US"/>
              </w:rPr>
              <w:t>review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 and the perceived problems with the </w:t>
            </w:r>
            <w:r w:rsidR="000C4259">
              <w:rPr>
                <w:rFonts w:ascii="Arial" w:hAnsi="Arial" w:cs="Arial"/>
                <w:szCs w:val="20"/>
                <w:lang w:eastAsia="en-US"/>
              </w:rPr>
              <w:t xml:space="preserve">review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which are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B51D02" w:rsidRPr="00421E85" w:rsidRDefault="000C4259" w:rsidP="00A46F4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1E85">
              <w:rPr>
                <w:rFonts w:ascii="Arial" w:hAnsi="Arial" w:cs="Arial"/>
              </w:rPr>
              <w:lastRenderedPageBreak/>
              <w:t>The purpose of the Communities Grants Strategic Review 2021 is to establish objectives to improve the efficiency, effectiveness</w:t>
            </w:r>
            <w:r w:rsidR="00AF4A2E" w:rsidRPr="00421E85">
              <w:rPr>
                <w:rFonts w:ascii="Arial" w:hAnsi="Arial" w:cs="Arial"/>
              </w:rPr>
              <w:t>, reach</w:t>
            </w:r>
            <w:r w:rsidRPr="00421E85">
              <w:rPr>
                <w:rFonts w:ascii="Arial" w:hAnsi="Arial" w:cs="Arial"/>
              </w:rPr>
              <w:t xml:space="preserve"> and impact of grants, while making savings of £200k.</w:t>
            </w:r>
            <w:r w:rsidR="00FF14CF" w:rsidRPr="00421E85">
              <w:rPr>
                <w:rFonts w:ascii="Arial" w:hAnsi="Arial" w:cs="Arial"/>
              </w:rPr>
              <w:t xml:space="preserve">  Given the impacts of the pandemic which are exacerbating inequalities in the city and the opportunity for grants to make a positive difference, there is a strong equalities focus within the review.  </w:t>
            </w:r>
            <w:r w:rsidR="00A46F45">
              <w:rPr>
                <w:rFonts w:ascii="Arial" w:hAnsi="Arial" w:cs="Arial"/>
              </w:rPr>
              <w:t xml:space="preserve">In essence, the review itself was an in depth Equalities Impact Assessment of the current grant management system. </w:t>
            </w:r>
            <w:r w:rsidR="00DD6DCB">
              <w:rPr>
                <w:rFonts w:ascii="Arial" w:hAnsi="Arial" w:cs="Arial"/>
              </w:rPr>
              <w:t>This</w:t>
            </w:r>
            <w:r w:rsidR="00FF14CF" w:rsidRPr="00421E85">
              <w:rPr>
                <w:rFonts w:ascii="Arial" w:hAnsi="Arial" w:cs="Arial"/>
              </w:rPr>
              <w:t xml:space="preserve"> equalities impact assessment was therefore undertaken </w:t>
            </w:r>
            <w:r w:rsidR="0041386C">
              <w:rPr>
                <w:rFonts w:ascii="Arial" w:hAnsi="Arial" w:cs="Arial"/>
              </w:rPr>
              <w:t xml:space="preserve">in two stages – firstly to </w:t>
            </w:r>
            <w:r w:rsidR="00FF14CF" w:rsidRPr="00421E85">
              <w:rPr>
                <w:rFonts w:ascii="Arial" w:hAnsi="Arial" w:cs="Arial"/>
              </w:rPr>
              <w:t xml:space="preserve">inform </w:t>
            </w:r>
            <w:r w:rsidR="00FF14CF" w:rsidRPr="00421E85">
              <w:rPr>
                <w:rFonts w:ascii="Arial" w:hAnsi="Arial" w:cs="Arial"/>
              </w:rPr>
              <w:lastRenderedPageBreak/>
              <w:t>the design of the review</w:t>
            </w:r>
            <w:r w:rsidR="0041386C">
              <w:rPr>
                <w:rFonts w:ascii="Arial" w:hAnsi="Arial" w:cs="Arial"/>
              </w:rPr>
              <w:t xml:space="preserve"> and secondly to provide an EIA on the recommendations in the final draft report</w:t>
            </w:r>
            <w:r w:rsidR="00FF14CF" w:rsidRPr="00421E85">
              <w:rPr>
                <w:rFonts w:ascii="Arial" w:hAnsi="Arial" w:cs="Arial"/>
              </w:rPr>
              <w:t>.</w:t>
            </w:r>
            <w:r w:rsidR="00A46F45">
              <w:rPr>
                <w:rFonts w:ascii="Arial" w:hAnsi="Arial" w:cs="Arial"/>
              </w:rPr>
              <w:t xml:space="preserve">  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421E85" w:rsidRDefault="0041386C" w:rsidP="00421E85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initial impact assessment was undertaken by officers with lived experience of intersectional protected characteristics (in bold in the list below)</w:t>
            </w:r>
            <w:r w:rsidR="002B788C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 xml:space="preserve">his informed </w:t>
            </w:r>
            <w:r w:rsidR="002B788C">
              <w:rPr>
                <w:rFonts w:ascii="Arial" w:hAnsi="Arial" w:cs="Arial"/>
              </w:rPr>
              <w:t>the consultation plan including the consultation questions</w:t>
            </w:r>
            <w:r w:rsidR="00B90746">
              <w:rPr>
                <w:rFonts w:ascii="Arial" w:hAnsi="Arial" w:cs="Arial"/>
              </w:rPr>
              <w:t xml:space="preserve"> </w:t>
            </w:r>
            <w:r w:rsidR="002B788C">
              <w:rPr>
                <w:rFonts w:ascii="Arial" w:hAnsi="Arial" w:cs="Arial"/>
              </w:rPr>
              <w:t xml:space="preserve">and the initial draft list of consultees and scoped a range of available data and </w:t>
            </w:r>
            <w:r>
              <w:rPr>
                <w:rFonts w:ascii="Arial" w:hAnsi="Arial" w:cs="Arial"/>
              </w:rPr>
              <w:t xml:space="preserve">the </w:t>
            </w:r>
            <w:r w:rsidR="006D483D" w:rsidRPr="009B0C2A">
              <w:rPr>
                <w:rFonts w:ascii="Arial" w:hAnsi="Arial" w:cs="Arial"/>
              </w:rPr>
              <w:t xml:space="preserve">methodology </w:t>
            </w:r>
            <w:r w:rsidR="006D483D">
              <w:rPr>
                <w:rFonts w:ascii="Arial" w:hAnsi="Arial" w:cs="Arial"/>
              </w:rPr>
              <w:t xml:space="preserve">used to analyse </w:t>
            </w:r>
            <w:r w:rsidR="002B788C">
              <w:rPr>
                <w:rFonts w:ascii="Arial" w:hAnsi="Arial" w:cs="Arial"/>
              </w:rPr>
              <w:t xml:space="preserve">it </w:t>
            </w:r>
            <w:r w:rsidR="008924B3">
              <w:rPr>
                <w:rFonts w:ascii="Arial" w:hAnsi="Arial" w:cs="Arial"/>
              </w:rPr>
              <w:t xml:space="preserve">including </w:t>
            </w:r>
            <w:r w:rsidR="002B788C">
              <w:rPr>
                <w:rFonts w:ascii="Arial" w:hAnsi="Arial" w:cs="Arial"/>
              </w:rPr>
              <w:t>live case studies as well as statistical information</w:t>
            </w:r>
            <w:r>
              <w:rPr>
                <w:rFonts w:ascii="Arial" w:hAnsi="Arial" w:cs="Arial"/>
              </w:rPr>
              <w:t>:</w:t>
            </w:r>
          </w:p>
          <w:p w:rsidR="00421E85" w:rsidRDefault="00421E85" w:rsidP="00421E8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A</w:t>
            </w:r>
            <w:r w:rsidRPr="00421E85">
              <w:t>nalysis of Oxford’s demographic statistics including relating to protected characteristics</w:t>
            </w:r>
            <w:r w:rsidR="008924B3">
              <w:t>,</w:t>
            </w:r>
            <w:r w:rsidRPr="00421E85">
              <w:t xml:space="preserve"> where available</w:t>
            </w:r>
          </w:p>
          <w:p w:rsidR="001D285B" w:rsidRDefault="006D483D" w:rsidP="001D285B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Analysis of Information coming into</w:t>
            </w:r>
            <w:r w:rsidR="002B788C">
              <w:t xml:space="preserve"> the Business Intelligence Unit, the </w:t>
            </w:r>
            <w:r>
              <w:t xml:space="preserve">Customer Services team and Asana system including referrals </w:t>
            </w:r>
            <w:r w:rsidR="002B788C">
              <w:t xml:space="preserve">and case studies for </w:t>
            </w:r>
            <w:r>
              <w:t>support throughout the pandemic</w:t>
            </w:r>
            <w:r w:rsidR="001D285B">
              <w:t xml:space="preserve"> as well as information from the Office for National Statistics, Public Health England</w:t>
            </w:r>
            <w:r w:rsidR="00234E4D">
              <w:t>, Joint Strategic Needs Assessment</w:t>
            </w:r>
            <w:r w:rsidR="001D285B">
              <w:t xml:space="preserve"> etc.</w:t>
            </w:r>
          </w:p>
          <w:p w:rsidR="00421E85" w:rsidRDefault="00421E85" w:rsidP="00421E8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I</w:t>
            </w:r>
            <w:r w:rsidR="00DB0023" w:rsidRPr="00421E85">
              <w:t xml:space="preserve">nternal </w:t>
            </w:r>
            <w:r w:rsidR="00AF4A2E" w:rsidRPr="00421E85">
              <w:t xml:space="preserve">individual </w:t>
            </w:r>
            <w:r w:rsidR="00DB0023" w:rsidRPr="00421E85">
              <w:t>consultations</w:t>
            </w:r>
            <w:r w:rsidR="009B0C2A" w:rsidRPr="00421E85">
              <w:t xml:space="preserve"> with over 50 </w:t>
            </w:r>
            <w:r w:rsidR="006D483D">
              <w:t xml:space="preserve">diverse </w:t>
            </w:r>
            <w:r w:rsidR="009B0C2A" w:rsidRPr="00421E85">
              <w:t xml:space="preserve">staff </w:t>
            </w:r>
            <w:r w:rsidR="006D483D">
              <w:t xml:space="preserve">members across the Council </w:t>
            </w:r>
            <w:r w:rsidR="009B0C2A" w:rsidRPr="00421E85">
              <w:t xml:space="preserve">and </w:t>
            </w:r>
            <w:r w:rsidR="000C4259" w:rsidRPr="00421E85">
              <w:t xml:space="preserve">a cross party Member advisory group of </w:t>
            </w:r>
            <w:r w:rsidR="009B0C2A" w:rsidRPr="00421E85">
              <w:t>7 Members</w:t>
            </w:r>
            <w:r w:rsidR="0041386C">
              <w:t xml:space="preserve"> (listed below)</w:t>
            </w:r>
          </w:p>
          <w:p w:rsidR="002B788C" w:rsidRDefault="00421E85" w:rsidP="006B3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O</w:t>
            </w:r>
            <w:r w:rsidR="00DB0023" w:rsidRPr="00421E85">
              <w:t xml:space="preserve">utreach to </w:t>
            </w:r>
            <w:r w:rsidRPr="00421E85">
              <w:t xml:space="preserve">over 50 third sector organisations including equalities-focused </w:t>
            </w:r>
            <w:r>
              <w:t>organisations</w:t>
            </w:r>
            <w:r w:rsidR="009B75EE">
              <w:t>, Oxford City Council grantees and unsuccessful grant applicants</w:t>
            </w:r>
            <w:r w:rsidR="0041386C">
              <w:t xml:space="preserve"> </w:t>
            </w:r>
          </w:p>
          <w:p w:rsidR="00421E85" w:rsidRDefault="00D201A7" w:rsidP="006B302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 xml:space="preserve">10 </w:t>
            </w:r>
            <w:r w:rsidR="002B788C">
              <w:t xml:space="preserve">group discussions attended by people with </w:t>
            </w:r>
            <w:r w:rsidR="00D9514C">
              <w:t xml:space="preserve">lived experience of different </w:t>
            </w:r>
            <w:r w:rsidR="00421E85" w:rsidRPr="00421E85">
              <w:t>protected characteristic</w:t>
            </w:r>
            <w:r w:rsidR="00D9514C">
              <w:t xml:space="preserve">s, </w:t>
            </w:r>
            <w:r w:rsidR="00421E85">
              <w:t>homelessness</w:t>
            </w:r>
            <w:r w:rsidR="00D9514C">
              <w:t xml:space="preserve"> and intersectionality</w:t>
            </w:r>
            <w:r w:rsidR="002B788C">
              <w:t xml:space="preserve"> as well as 10 open group sessions</w:t>
            </w:r>
            <w:r w:rsidR="006D483D">
              <w:t xml:space="preserve"> </w:t>
            </w:r>
          </w:p>
          <w:p w:rsidR="0036005E" w:rsidRDefault="00421E85" w:rsidP="00421E8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E</w:t>
            </w:r>
            <w:r w:rsidRPr="00421E85">
              <w:t xml:space="preserve">valuation of best practice in other councils including </w:t>
            </w:r>
            <w:r w:rsidR="0036005E">
              <w:t>Bath and North Som</w:t>
            </w:r>
            <w:r w:rsidRPr="00421E85">
              <w:t xml:space="preserve">erset, Bristol, Preston, Wigan, Plymouth and York </w:t>
            </w:r>
          </w:p>
          <w:p w:rsidR="00421E85" w:rsidRDefault="0036005E" w:rsidP="00421E8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Public consultation via OCC public consultation portal with 35 responses</w:t>
            </w:r>
          </w:p>
          <w:p w:rsidR="009B75EE" w:rsidRDefault="009B75EE" w:rsidP="00421E8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t>D</w:t>
            </w:r>
            <w:r w:rsidR="00AF4A2E" w:rsidRPr="00421E85">
              <w:t>iscussions with local and national funders</w:t>
            </w:r>
            <w:r w:rsidR="006D483D">
              <w:t xml:space="preserve"> with a focus on funding equalities related work  </w:t>
            </w:r>
          </w:p>
          <w:p w:rsidR="008878A1" w:rsidRPr="009B75EE" w:rsidRDefault="006D483D" w:rsidP="00D9514C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consultations </w:t>
            </w:r>
            <w:r w:rsidR="00DB0023" w:rsidRPr="009B75EE">
              <w:rPr>
                <w:rFonts w:ascii="Arial" w:hAnsi="Arial" w:cs="Arial"/>
              </w:rPr>
              <w:t xml:space="preserve">took account of </w:t>
            </w:r>
            <w:r>
              <w:rPr>
                <w:rFonts w:ascii="Arial" w:hAnsi="Arial" w:cs="Arial"/>
              </w:rPr>
              <w:t xml:space="preserve">other </w:t>
            </w:r>
            <w:r w:rsidR="00D9514C">
              <w:rPr>
                <w:rFonts w:ascii="Arial" w:hAnsi="Arial" w:cs="Arial"/>
              </w:rPr>
              <w:t>cross-Council</w:t>
            </w:r>
            <w:r w:rsidR="00DB0023" w:rsidRPr="009B75EE">
              <w:rPr>
                <w:rFonts w:ascii="Arial" w:hAnsi="Arial" w:cs="Arial"/>
              </w:rPr>
              <w:t xml:space="preserve"> work </w:t>
            </w:r>
            <w:r w:rsidR="00D9514C">
              <w:rPr>
                <w:rFonts w:ascii="Arial" w:hAnsi="Arial" w:cs="Arial"/>
              </w:rPr>
              <w:t xml:space="preserve">including </w:t>
            </w:r>
            <w:r w:rsidR="00DB0023" w:rsidRPr="009B75EE">
              <w:rPr>
                <w:rFonts w:ascii="Arial" w:hAnsi="Arial" w:cs="Arial"/>
              </w:rPr>
              <w:t xml:space="preserve">the </w:t>
            </w:r>
            <w:r w:rsidR="009B0C2A" w:rsidRPr="009B75EE">
              <w:rPr>
                <w:rFonts w:ascii="Arial" w:hAnsi="Arial" w:cs="Arial"/>
              </w:rPr>
              <w:t xml:space="preserve">City Council Strategy, Anti-Racism Charter, Housing and Homelessness Strategy, </w:t>
            </w:r>
            <w:r w:rsidR="00DB0023" w:rsidRPr="009B75EE">
              <w:rPr>
                <w:rFonts w:ascii="Arial" w:hAnsi="Arial" w:cs="Arial"/>
              </w:rPr>
              <w:t xml:space="preserve">Wealth Creation project, </w:t>
            </w:r>
            <w:hyperlink r:id="rId14" w:anchor=":~:text=The%20Oxford%20City%20Community%20Impact%20Zone%20resulted%20from,knocking%20and%20events%20across%20the%20Community%20Impact%20Zone." w:history="1">
              <w:r w:rsidR="00DB0023" w:rsidRPr="009B75EE">
                <w:rPr>
                  <w:rFonts w:ascii="Arial" w:hAnsi="Arial" w:cs="Arial"/>
                </w:rPr>
                <w:t>Community Impact Zone</w:t>
              </w:r>
            </w:hyperlink>
            <w:r w:rsidR="00DB0023" w:rsidRPr="009B75EE">
              <w:rPr>
                <w:rFonts w:ascii="Arial" w:hAnsi="Arial" w:cs="Arial"/>
              </w:rPr>
              <w:t xml:space="preserve"> (CIZ), the development of the Locality Hubs as key service integration delivery points and work toward the Thriving Communities </w:t>
            </w:r>
            <w:r w:rsidR="009B0C2A" w:rsidRPr="009B75EE">
              <w:rPr>
                <w:rFonts w:ascii="Arial" w:hAnsi="Arial" w:cs="Arial"/>
              </w:rPr>
              <w:t>and Equalities Strategies</w:t>
            </w:r>
            <w:r w:rsidR="00DB0023" w:rsidRPr="009B75EE">
              <w:rPr>
                <w:rFonts w:ascii="Arial" w:hAnsi="Arial" w:cs="Arial"/>
              </w:rPr>
              <w:t>.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lastRenderedPageBreak/>
              <w:t xml:space="preserve">This section should outline all the 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FF14CF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A statement of what you plan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>to do next</w:t>
            </w:r>
          </w:p>
        </w:tc>
        <w:tc>
          <w:tcPr>
            <w:tcW w:w="10915" w:type="dxa"/>
            <w:gridSpan w:val="8"/>
          </w:tcPr>
          <w:p w:rsidR="00FF14CF" w:rsidRDefault="00607E08" w:rsidP="00607E08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 xml:space="preserve">The consultations were carried out to inform the Communities Grants Strategic Review </w:t>
            </w:r>
            <w:r w:rsidR="00677749">
              <w:rPr>
                <w:rFonts w:ascii="Arial" w:hAnsi="Arial" w:cs="Arial"/>
                <w:szCs w:val="20"/>
                <w:lang w:eastAsia="en-US"/>
              </w:rPr>
              <w:t xml:space="preserve">report recommendations but </w:t>
            </w:r>
            <w:r w:rsidR="008924B3">
              <w:rPr>
                <w:rFonts w:ascii="Arial" w:hAnsi="Arial" w:cs="Arial"/>
                <w:szCs w:val="20"/>
                <w:lang w:eastAsia="en-US"/>
              </w:rPr>
              <w:t xml:space="preserve">consultees </w:t>
            </w:r>
            <w:r w:rsidR="00677749">
              <w:rPr>
                <w:rFonts w:ascii="Arial" w:hAnsi="Arial" w:cs="Arial"/>
                <w:szCs w:val="20"/>
                <w:lang w:eastAsia="en-US"/>
              </w:rPr>
              <w:t xml:space="preserve">also inputted into the consultation plan itself.  As a result, more </w:t>
            </w:r>
            <w:r w:rsidR="00677749">
              <w:rPr>
                <w:rFonts w:ascii="Arial" w:hAnsi="Arial" w:cs="Arial"/>
                <w:szCs w:val="20"/>
                <w:lang w:eastAsia="en-US"/>
              </w:rPr>
              <w:lastRenderedPageBreak/>
              <w:t xml:space="preserve">consultations were held than were initially planned as consultees made suggestions for additional </w:t>
            </w:r>
            <w:r w:rsidR="008924B3">
              <w:rPr>
                <w:rFonts w:ascii="Arial" w:hAnsi="Arial" w:cs="Arial"/>
                <w:szCs w:val="20"/>
                <w:lang w:eastAsia="en-US"/>
              </w:rPr>
              <w:t xml:space="preserve">people and organisations </w:t>
            </w:r>
            <w:r w:rsidR="00677749">
              <w:rPr>
                <w:rFonts w:ascii="Arial" w:hAnsi="Arial" w:cs="Arial"/>
                <w:szCs w:val="20"/>
                <w:lang w:eastAsia="en-US"/>
              </w:rPr>
              <w:t xml:space="preserve">for the Project Manager to meet with.  </w:t>
            </w:r>
          </w:p>
          <w:p w:rsidR="00607E08" w:rsidRDefault="00607E08" w:rsidP="00607E08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607E08" w:rsidRDefault="00607E08" w:rsidP="00607E08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Details of how each element of the consultation was delivered are as follows:</w:t>
            </w:r>
          </w:p>
          <w:p w:rsidR="00607E08" w:rsidRDefault="00607E08" w:rsidP="00607E08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677749" w:rsidRPr="00677749" w:rsidRDefault="00607E08" w:rsidP="00074AD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 w:rsidRPr="00677749">
              <w:rPr>
                <w:b/>
              </w:rPr>
              <w:t xml:space="preserve">Analysis of </w:t>
            </w:r>
            <w:r w:rsidR="00677749" w:rsidRPr="00677749">
              <w:rPr>
                <w:b/>
              </w:rPr>
              <w:t>data</w:t>
            </w:r>
          </w:p>
          <w:p w:rsidR="008924B3" w:rsidRDefault="00F623A7" w:rsidP="008924B3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rPr>
                <w:lang w:eastAsia="en-GB"/>
              </w:rPr>
              <w:t>Undertaken as a desk top exercise linking in with Sally Hicks, Data Analyst</w:t>
            </w:r>
            <w:r w:rsidR="00677749">
              <w:rPr>
                <w:lang w:eastAsia="en-GB"/>
              </w:rPr>
              <w:t xml:space="preserve"> and Mark Chandler, Performance and Resources Manager, to access information</w:t>
            </w:r>
            <w:r>
              <w:rPr>
                <w:lang w:eastAsia="en-GB"/>
              </w:rPr>
              <w:t xml:space="preserve"> held by/accessible to OCC </w:t>
            </w:r>
            <w:r w:rsidR="00677749">
              <w:rPr>
                <w:lang w:eastAsia="en-GB"/>
              </w:rPr>
              <w:t xml:space="preserve">(e.g. referrals to Customer and Community Services) </w:t>
            </w:r>
            <w:r>
              <w:rPr>
                <w:lang w:eastAsia="en-GB"/>
              </w:rPr>
              <w:t xml:space="preserve">as well as publicly available census </w:t>
            </w:r>
            <w:r w:rsidR="00677749">
              <w:rPr>
                <w:lang w:eastAsia="en-GB"/>
              </w:rPr>
              <w:t xml:space="preserve">demographic </w:t>
            </w:r>
            <w:r>
              <w:rPr>
                <w:lang w:eastAsia="en-GB"/>
              </w:rPr>
              <w:t>information</w:t>
            </w:r>
            <w:r w:rsidR="00677749">
              <w:rPr>
                <w:lang w:eastAsia="en-GB"/>
              </w:rPr>
              <w:t xml:space="preserve">, Office for National Statistics </w:t>
            </w:r>
            <w:r w:rsidR="008924B3">
              <w:rPr>
                <w:lang w:eastAsia="en-GB"/>
              </w:rPr>
              <w:t xml:space="preserve">data, </w:t>
            </w:r>
            <w:r w:rsidR="0027565B">
              <w:rPr>
                <w:lang w:eastAsia="en-GB"/>
              </w:rPr>
              <w:t xml:space="preserve">data from Local Insight </w:t>
            </w:r>
            <w:r w:rsidR="008924B3">
              <w:rPr>
                <w:lang w:eastAsia="en-GB"/>
              </w:rPr>
              <w:t xml:space="preserve">and referral case studies </w:t>
            </w:r>
            <w:r>
              <w:rPr>
                <w:lang w:eastAsia="en-GB"/>
              </w:rPr>
              <w:t>etc.</w:t>
            </w:r>
          </w:p>
          <w:p w:rsidR="00677749" w:rsidRDefault="00677749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607E08" w:rsidRPr="00F623A7" w:rsidRDefault="00607E08" w:rsidP="00607E0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b/>
                <w:lang w:eastAsia="en-GB"/>
              </w:rPr>
            </w:pPr>
            <w:r w:rsidRPr="00F623A7">
              <w:rPr>
                <w:b/>
              </w:rPr>
              <w:t>Internal individual consultations with over 50 staff and a cross party Member advisory group of 7 Members</w:t>
            </w:r>
          </w:p>
          <w:p w:rsidR="00607E08" w:rsidRDefault="00F623A7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Adrian Green, Project Manager, </w:t>
            </w:r>
            <w:r w:rsidR="00A179E7">
              <w:rPr>
                <w:lang w:eastAsia="en-GB"/>
              </w:rPr>
              <w:t>held 121 meetings with each staff member.</w:t>
            </w:r>
            <w:r>
              <w:rPr>
                <w:lang w:eastAsia="en-GB"/>
              </w:rPr>
              <w:t xml:space="preserve"> </w:t>
            </w:r>
            <w:r w:rsidR="00A179E7">
              <w:rPr>
                <w:lang w:eastAsia="en-GB"/>
              </w:rPr>
              <w:t xml:space="preserve"> Two </w:t>
            </w:r>
            <w:r>
              <w:rPr>
                <w:lang w:eastAsia="en-GB"/>
              </w:rPr>
              <w:t xml:space="preserve">group meetings were held with the Cross-party Member advisory group </w:t>
            </w:r>
            <w:r w:rsidR="00A179E7">
              <w:rPr>
                <w:lang w:eastAsia="en-GB"/>
              </w:rPr>
              <w:t>led by Ian Brooke, Head of Community Services, Adrian Green Project Manager and Paula Redway, Culture and Community Development Manager. Me</w:t>
            </w:r>
            <w:r>
              <w:rPr>
                <w:lang w:eastAsia="en-GB"/>
              </w:rPr>
              <w:t xml:space="preserve">mbers </w:t>
            </w:r>
            <w:r w:rsidR="00A179E7">
              <w:rPr>
                <w:lang w:eastAsia="en-GB"/>
              </w:rPr>
              <w:t xml:space="preserve">were </w:t>
            </w:r>
            <w:r>
              <w:rPr>
                <w:lang w:eastAsia="en-GB"/>
              </w:rPr>
              <w:t>selected by each of t</w:t>
            </w:r>
            <w:r w:rsidR="00A179E7">
              <w:rPr>
                <w:lang w:eastAsia="en-GB"/>
              </w:rPr>
              <w:t>he party leaders – see the list</w:t>
            </w:r>
            <w:r>
              <w:rPr>
                <w:lang w:eastAsia="en-GB"/>
              </w:rPr>
              <w:t xml:space="preserve"> below.</w:t>
            </w:r>
          </w:p>
          <w:p w:rsidR="00F623A7" w:rsidRDefault="00F623A7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607E08" w:rsidRPr="00F623A7" w:rsidRDefault="00607E08" w:rsidP="00607E0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b/>
                <w:lang w:eastAsia="en-GB"/>
              </w:rPr>
            </w:pPr>
            <w:r w:rsidRPr="00F623A7">
              <w:rPr>
                <w:b/>
              </w:rPr>
              <w:t>Outreach to over 50 third sector organisations including equalities-focused organisations, Oxford City Council grantees and unsuccessful grant applicants</w:t>
            </w:r>
          </w:p>
          <w:p w:rsidR="00607E08" w:rsidRDefault="00F623A7" w:rsidP="00F623A7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rPr>
                <w:lang w:eastAsia="en-GB"/>
              </w:rPr>
              <w:t>Consultations were held with over 50 or</w:t>
            </w:r>
            <w:r w:rsidR="0051122B">
              <w:rPr>
                <w:lang w:eastAsia="en-GB"/>
              </w:rPr>
              <w:t>ganisations</w:t>
            </w:r>
            <w:r>
              <w:rPr>
                <w:lang w:eastAsia="en-GB"/>
              </w:rPr>
              <w:t>.  Consultations were led by Adrian Green, Project Manager supported by a relevant officer with knowledge of the organisation</w:t>
            </w:r>
            <w:r w:rsidR="00A179E7">
              <w:rPr>
                <w:lang w:eastAsia="en-GB"/>
              </w:rPr>
              <w:t xml:space="preserve"> and their work</w:t>
            </w:r>
            <w:r>
              <w:rPr>
                <w:lang w:eastAsia="en-GB"/>
              </w:rPr>
              <w:t>.</w:t>
            </w:r>
            <w:r w:rsidR="0051122B">
              <w:rPr>
                <w:lang w:eastAsia="en-GB"/>
              </w:rPr>
              <w:t xml:space="preserve">  Notes were taken of the key points raised and are included in Annex </w:t>
            </w:r>
            <w:r w:rsidR="00B90746">
              <w:rPr>
                <w:lang w:eastAsia="en-GB"/>
              </w:rPr>
              <w:t>3</w:t>
            </w:r>
            <w:r w:rsidR="00EB0742">
              <w:rPr>
                <w:lang w:eastAsia="en-GB"/>
              </w:rPr>
              <w:t xml:space="preserve"> </w:t>
            </w:r>
            <w:r w:rsidR="0051122B">
              <w:rPr>
                <w:lang w:eastAsia="en-GB"/>
              </w:rPr>
              <w:t xml:space="preserve">of the </w:t>
            </w:r>
            <w:r w:rsidR="00B90746">
              <w:rPr>
                <w:lang w:eastAsia="en-GB"/>
              </w:rPr>
              <w:t xml:space="preserve">Cabinet </w:t>
            </w:r>
            <w:r w:rsidR="0051122B">
              <w:rPr>
                <w:lang w:eastAsia="en-GB"/>
              </w:rPr>
              <w:t>report.</w:t>
            </w:r>
          </w:p>
          <w:p w:rsidR="00607E08" w:rsidRDefault="00607E08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607E08" w:rsidRPr="00F623A7" w:rsidRDefault="00F623A7" w:rsidP="00607E0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b/>
                <w:lang w:eastAsia="en-GB"/>
              </w:rPr>
            </w:pPr>
            <w:r w:rsidRPr="00F623A7">
              <w:rPr>
                <w:b/>
              </w:rPr>
              <w:t xml:space="preserve">9 </w:t>
            </w:r>
            <w:r w:rsidR="00607E08" w:rsidRPr="00F623A7">
              <w:rPr>
                <w:b/>
              </w:rPr>
              <w:t>group consultations focussing on lived experience of diffe</w:t>
            </w:r>
            <w:r w:rsidR="00A179E7">
              <w:rPr>
                <w:b/>
              </w:rPr>
              <w:t xml:space="preserve">rent protected characteristics, </w:t>
            </w:r>
            <w:r w:rsidR="00B2056E">
              <w:rPr>
                <w:b/>
              </w:rPr>
              <w:t xml:space="preserve">1 focussed on </w:t>
            </w:r>
            <w:r w:rsidR="00607E08" w:rsidRPr="00F623A7">
              <w:rPr>
                <w:b/>
              </w:rPr>
              <w:t xml:space="preserve">homelessness </w:t>
            </w:r>
            <w:r w:rsidR="00A179E7">
              <w:rPr>
                <w:b/>
              </w:rPr>
              <w:t xml:space="preserve">and </w:t>
            </w:r>
            <w:r w:rsidRPr="00F623A7">
              <w:rPr>
                <w:b/>
              </w:rPr>
              <w:t xml:space="preserve">a further 10 open group consultations </w:t>
            </w:r>
          </w:p>
          <w:p w:rsidR="0051122B" w:rsidRDefault="0051122B" w:rsidP="0051122B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Consultations were led by Adrian Green, Project Manager supported by a</w:t>
            </w:r>
            <w:r w:rsidR="00EB0742">
              <w:rPr>
                <w:lang w:eastAsia="en-GB"/>
              </w:rPr>
              <w:t>n</w:t>
            </w:r>
            <w:r>
              <w:rPr>
                <w:lang w:eastAsia="en-GB"/>
              </w:rPr>
              <w:t xml:space="preserve"> officer with relevant lived experience.  Notes were taken of the key points ra</w:t>
            </w:r>
            <w:r w:rsidR="00273E78">
              <w:rPr>
                <w:lang w:eastAsia="en-GB"/>
              </w:rPr>
              <w:t>ised and are included in Annex 3</w:t>
            </w:r>
            <w:r>
              <w:rPr>
                <w:lang w:eastAsia="en-GB"/>
              </w:rPr>
              <w:t xml:space="preserve"> of the </w:t>
            </w:r>
            <w:r w:rsidR="007451C4">
              <w:rPr>
                <w:lang w:eastAsia="en-GB"/>
              </w:rPr>
              <w:t xml:space="preserve">Cabinet </w:t>
            </w:r>
            <w:r>
              <w:rPr>
                <w:lang w:eastAsia="en-GB"/>
              </w:rPr>
              <w:t>report.</w:t>
            </w:r>
          </w:p>
          <w:p w:rsidR="0051122B" w:rsidRDefault="0051122B" w:rsidP="0051122B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607E08" w:rsidRPr="0051122B" w:rsidRDefault="00607E08" w:rsidP="00607E0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b/>
                <w:lang w:eastAsia="en-GB"/>
              </w:rPr>
            </w:pPr>
            <w:r w:rsidRPr="0051122B">
              <w:rPr>
                <w:b/>
              </w:rPr>
              <w:t xml:space="preserve">Evaluation of best practice in other councils including Bath and North Somerset, Bristol, Preston, Wigan, Plymouth and York </w:t>
            </w:r>
          </w:p>
          <w:p w:rsidR="00607E08" w:rsidRPr="00012CD8" w:rsidRDefault="00012CD8" w:rsidP="00607E08">
            <w:pPr>
              <w:pStyle w:val="ListParagraph"/>
              <w:tabs>
                <w:tab w:val="left" w:pos="426"/>
              </w:tabs>
              <w:spacing w:after="120"/>
              <w:jc w:val="both"/>
            </w:pPr>
            <w:r w:rsidRPr="00012CD8">
              <w:t xml:space="preserve">Consultations were held by </w:t>
            </w:r>
            <w:r>
              <w:t xml:space="preserve">Project Manager, </w:t>
            </w:r>
            <w:r w:rsidRPr="00012CD8">
              <w:t>Adrian Green</w:t>
            </w:r>
            <w:r>
              <w:t>,</w:t>
            </w:r>
            <w:r w:rsidRPr="00012CD8">
              <w:t xml:space="preserve"> with local authorities where good practice is recognised. The </w:t>
            </w:r>
            <w:r>
              <w:t xml:space="preserve">list of consultees and </w:t>
            </w:r>
            <w:r w:rsidRPr="00012CD8">
              <w:t xml:space="preserve">consolidated Best Practice learning summaries are </w:t>
            </w:r>
            <w:r>
              <w:t xml:space="preserve">included </w:t>
            </w:r>
            <w:r w:rsidR="007451C4">
              <w:t>in Annex 3</w:t>
            </w:r>
            <w:r w:rsidR="00EB0742">
              <w:t xml:space="preserve"> of the </w:t>
            </w:r>
            <w:r w:rsidR="007451C4">
              <w:t xml:space="preserve">Cabinet </w:t>
            </w:r>
            <w:r w:rsidR="00EB0742">
              <w:t>repor</w:t>
            </w:r>
            <w:r w:rsidR="002B788C">
              <w:t>t</w:t>
            </w:r>
            <w:r w:rsidRPr="00012CD8">
              <w:t>.</w:t>
            </w:r>
          </w:p>
          <w:p w:rsidR="00012CD8" w:rsidRDefault="00012CD8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012CD8" w:rsidRPr="00012CD8" w:rsidRDefault="00607E08" w:rsidP="00A82ED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 w:rsidRPr="00012CD8">
              <w:rPr>
                <w:b/>
              </w:rPr>
              <w:t xml:space="preserve">Public consultation </w:t>
            </w:r>
          </w:p>
          <w:p w:rsidR="00607E08" w:rsidRDefault="00012CD8" w:rsidP="00012CD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  <w:r w:rsidRPr="00012CD8">
              <w:rPr>
                <w:lang w:eastAsia="en-GB"/>
              </w:rPr>
              <w:t xml:space="preserve">A public consultation was run via </w:t>
            </w:r>
            <w:r>
              <w:t>Oxford City Council</w:t>
            </w:r>
            <w:r w:rsidRPr="00012CD8">
              <w:t xml:space="preserve"> public consultation portal with 35 responses</w:t>
            </w:r>
            <w:r>
              <w:t>.</w:t>
            </w:r>
            <w:r w:rsidR="002B788C">
              <w:t xml:space="preserve"> Fee</w:t>
            </w:r>
            <w:r w:rsidR="00EB0742">
              <w:t xml:space="preserve">dback given is listed in Annex </w:t>
            </w:r>
            <w:r w:rsidR="00293CAC">
              <w:t xml:space="preserve">3 </w:t>
            </w:r>
            <w:r w:rsidR="002B788C">
              <w:t xml:space="preserve">of the </w:t>
            </w:r>
            <w:r w:rsidR="00293CAC">
              <w:t xml:space="preserve">Cabinet </w:t>
            </w:r>
            <w:r w:rsidR="002B788C">
              <w:t>report.</w:t>
            </w:r>
          </w:p>
          <w:p w:rsidR="00607E08" w:rsidRDefault="00607E08" w:rsidP="00607E08">
            <w:pPr>
              <w:pStyle w:val="ListParagraph"/>
              <w:tabs>
                <w:tab w:val="left" w:pos="426"/>
              </w:tabs>
              <w:spacing w:after="120"/>
              <w:jc w:val="both"/>
              <w:rPr>
                <w:lang w:eastAsia="en-GB"/>
              </w:rPr>
            </w:pPr>
          </w:p>
          <w:p w:rsidR="00546C8E" w:rsidRDefault="00607E08" w:rsidP="00607E0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  <w:rPr>
                <w:b/>
                <w:lang w:eastAsia="en-GB"/>
              </w:rPr>
            </w:pPr>
            <w:r w:rsidRPr="00012CD8">
              <w:rPr>
                <w:b/>
              </w:rPr>
              <w:t>Discussions with local and national funders</w:t>
            </w:r>
          </w:p>
          <w:p w:rsidR="00141A48" w:rsidRDefault="00546C8E" w:rsidP="00141A48">
            <w:pPr>
              <w:pStyle w:val="ListParagraph"/>
              <w:tabs>
                <w:tab w:val="left" w:pos="426"/>
              </w:tabs>
              <w:spacing w:after="120"/>
              <w:jc w:val="both"/>
            </w:pPr>
            <w:r w:rsidRPr="00546C8E">
              <w:t>A virtual roundtable discussion was held by the Chief Cultural and Leisure Officers Association</w:t>
            </w:r>
            <w:r w:rsidR="00A179E7">
              <w:t xml:space="preserve"> (CLOA)</w:t>
            </w:r>
            <w:r w:rsidRPr="00546C8E">
              <w:t xml:space="preserve"> with a selected group of National Funders (Lankelly Chase, Lloyds Bank Foundation, Salix Finance, Sport England, The Good Exchange and ArtsWork) and CLOA Local Authority members. </w:t>
            </w:r>
            <w:r w:rsidR="00EB0742">
              <w:t xml:space="preserve">Notes of the meeting are included in Annex </w:t>
            </w:r>
            <w:r w:rsidR="00C708D6">
              <w:t xml:space="preserve">3 </w:t>
            </w:r>
            <w:r w:rsidR="00EB0742">
              <w:t xml:space="preserve">of the </w:t>
            </w:r>
            <w:r w:rsidR="00C708D6">
              <w:t xml:space="preserve">Cabinet </w:t>
            </w:r>
            <w:r w:rsidR="00EB0742">
              <w:t>report.</w:t>
            </w:r>
            <w:r w:rsidR="00141A48">
              <w:t xml:space="preserve">  </w:t>
            </w:r>
          </w:p>
          <w:p w:rsidR="00141A48" w:rsidRDefault="00141A48" w:rsidP="00141A48">
            <w:pPr>
              <w:pStyle w:val="ListParagraph"/>
              <w:tabs>
                <w:tab w:val="left" w:pos="426"/>
              </w:tabs>
              <w:spacing w:after="120"/>
              <w:jc w:val="both"/>
            </w:pPr>
          </w:p>
          <w:p w:rsidR="00141A48" w:rsidRDefault="00141A48" w:rsidP="00141A48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 w:rsidRPr="00141A48">
              <w:rPr>
                <w:rFonts w:ascii="Arial" w:hAnsi="Arial" w:cs="Arial"/>
              </w:rPr>
              <w:t>The consultations led to the report recommending the following criteria for assessing grant applications for delivery from April 2022-March 2025:</w:t>
            </w:r>
          </w:p>
          <w:p w:rsidR="00141A48" w:rsidRDefault="00141A48" w:rsidP="00141A4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 w:rsidRPr="00C938DE">
              <w:t>Reducing Inequalities</w:t>
            </w:r>
          </w:p>
          <w:p w:rsidR="00C938DE" w:rsidRPr="00C938DE" w:rsidRDefault="00C938DE" w:rsidP="00141A4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>Meeting the needs of those most affected by COVID-19</w:t>
            </w:r>
          </w:p>
          <w:p w:rsidR="00C938DE" w:rsidRDefault="00C938DE" w:rsidP="00C938D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 w:rsidRPr="00C938DE">
              <w:t>Activity with people living in regeneration areas</w:t>
            </w:r>
          </w:p>
          <w:p w:rsidR="002859C4" w:rsidRPr="00C938DE" w:rsidRDefault="001D481B" w:rsidP="002859C4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 xml:space="preserve">Accessibility </w:t>
            </w:r>
          </w:p>
          <w:p w:rsidR="00851289" w:rsidRDefault="00851289" w:rsidP="00C938D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>Activity for underrepresented</w:t>
            </w:r>
            <w:r w:rsidR="0064088C">
              <w:t>/excluded</w:t>
            </w:r>
            <w:r>
              <w:t xml:space="preserve"> groups</w:t>
            </w:r>
            <w:r w:rsidR="00B24B10">
              <w:t xml:space="preserve"> including BAME, Disabled, LGBTQIA+, young people living in challenging circumstances</w:t>
            </w:r>
          </w:p>
          <w:p w:rsidR="00C938DE" w:rsidRDefault="00C938DE" w:rsidP="00C938D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>Activity levering in additional funding</w:t>
            </w:r>
          </w:p>
          <w:p w:rsidR="001667D4" w:rsidRDefault="001667D4" w:rsidP="00C938D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>Job creation/protection</w:t>
            </w:r>
          </w:p>
          <w:p w:rsidR="00C938DE" w:rsidRPr="00C938DE" w:rsidRDefault="00307779" w:rsidP="00141A4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lastRenderedPageBreak/>
              <w:t>Partnership bids</w:t>
            </w:r>
            <w:r w:rsidR="00434626">
              <w:t xml:space="preserve"> e.g. to share resources, reduce duplication and increase reach</w:t>
            </w:r>
          </w:p>
          <w:p w:rsidR="00C938DE" w:rsidRDefault="00C938DE" w:rsidP="00141A4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120"/>
              <w:jc w:val="both"/>
            </w:pPr>
            <w:r>
              <w:t>C</w:t>
            </w:r>
            <w:r w:rsidR="00141A48" w:rsidRPr="00C938DE">
              <w:t>oaching (particularly for emerging organisations and organisations</w:t>
            </w:r>
            <w:r>
              <w:t xml:space="preserve"> targeting excluded groups)</w:t>
            </w:r>
          </w:p>
          <w:p w:rsidR="00546C8E" w:rsidRPr="00AA02AA" w:rsidRDefault="00AA02AA" w:rsidP="00AA02AA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 w:rsidRPr="00AA02AA">
              <w:rPr>
                <w:rFonts w:ascii="Arial" w:hAnsi="Arial" w:cs="Arial"/>
              </w:rPr>
              <w:t xml:space="preserve">Those </w:t>
            </w:r>
            <w:r>
              <w:rPr>
                <w:rFonts w:ascii="Arial" w:hAnsi="Arial" w:cs="Arial"/>
              </w:rPr>
              <w:t>award grants</w:t>
            </w:r>
            <w:r w:rsidRPr="00AA02AA">
              <w:rPr>
                <w:rFonts w:ascii="Arial" w:hAnsi="Arial" w:cs="Arial"/>
              </w:rPr>
              <w:t xml:space="preserve"> over £5K would need to participate in sessions to share learning with others</w:t>
            </w:r>
            <w:r>
              <w:rPr>
                <w:rFonts w:ascii="Arial" w:hAnsi="Arial" w:cs="Arial"/>
              </w:rPr>
              <w:t>.</w:t>
            </w:r>
            <w:r w:rsidRPr="00AA02AA">
              <w:rPr>
                <w:rFonts w:ascii="Arial" w:hAnsi="Arial" w:cs="Arial"/>
              </w:rPr>
              <w:t xml:space="preserve"> </w:t>
            </w:r>
          </w:p>
          <w:p w:rsidR="00141A48" w:rsidRDefault="00141A48" w:rsidP="00607E08">
            <w:pPr>
              <w:rPr>
                <w:rFonts w:cstheme="minorHAnsi"/>
              </w:rPr>
            </w:pPr>
          </w:p>
          <w:p w:rsidR="00A46F45" w:rsidRPr="00A46F45" w:rsidRDefault="00A46F45" w:rsidP="00607E08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A46F45">
              <w:rPr>
                <w:rFonts w:ascii="Arial" w:hAnsi="Arial" w:cs="Arial"/>
                <w:b/>
                <w:szCs w:val="20"/>
                <w:lang w:eastAsia="en-US"/>
              </w:rPr>
              <w:t>Here is the summary table of the key equalities related points raised during consultation responses/inputs</w:t>
            </w:r>
            <w:r w:rsidR="001D285B">
              <w:rPr>
                <w:rFonts w:ascii="Arial" w:hAnsi="Arial" w:cs="Arial"/>
                <w:b/>
                <w:szCs w:val="20"/>
                <w:lang w:eastAsia="en-US"/>
              </w:rPr>
              <w:t xml:space="preserve"> and the suggested mitigations</w:t>
            </w:r>
            <w:r w:rsidRPr="00A46F45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  <w:p w:rsidR="00A46F45" w:rsidRPr="00531D64" w:rsidRDefault="00A46F45" w:rsidP="00607E08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4"/>
              <w:gridCol w:w="5345"/>
            </w:tblGrid>
            <w:tr w:rsidR="00A46F45" w:rsidRPr="00531D64" w:rsidTr="00A46F45">
              <w:tc>
                <w:tcPr>
                  <w:tcW w:w="5344" w:type="dxa"/>
                </w:tcPr>
                <w:p w:rsidR="00A46F45" w:rsidRPr="00531D64" w:rsidRDefault="00A46F45" w:rsidP="00607E08">
                  <w:pPr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531D64">
                    <w:rPr>
                      <w:rFonts w:ascii="Arial" w:hAnsi="Arial" w:cs="Arial"/>
                      <w:b/>
                      <w:szCs w:val="20"/>
                      <w:lang w:eastAsia="en-US"/>
                    </w:rPr>
                    <w:t>Equalities Impact</w:t>
                  </w:r>
                </w:p>
              </w:tc>
              <w:tc>
                <w:tcPr>
                  <w:tcW w:w="5345" w:type="dxa"/>
                </w:tcPr>
                <w:p w:rsidR="00A46F45" w:rsidRPr="00531D64" w:rsidRDefault="00A46F45" w:rsidP="00607E08">
                  <w:pPr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531D64">
                    <w:rPr>
                      <w:rFonts w:ascii="Arial" w:hAnsi="Arial" w:cs="Arial"/>
                      <w:b/>
                      <w:szCs w:val="20"/>
                      <w:lang w:eastAsia="en-US"/>
                    </w:rPr>
                    <w:t>Mitigation</w:t>
                  </w:r>
                </w:p>
              </w:tc>
            </w:tr>
            <w:tr w:rsidR="00A46F45" w:rsidRPr="00531D64" w:rsidTr="00A46F45">
              <w:tc>
                <w:tcPr>
                  <w:tcW w:w="5344" w:type="dxa"/>
                </w:tcPr>
                <w:p w:rsidR="00A46F45" w:rsidRPr="00531D64" w:rsidRDefault="00141A48" w:rsidP="00141A48">
                  <w:pPr>
                    <w:rPr>
                      <w:rFonts w:ascii="Arial" w:hAnsi="Arial" w:cs="Arial"/>
                      <w:szCs w:val="20"/>
                    </w:rPr>
                  </w:pPr>
                  <w:r w:rsidRPr="00531D64">
                    <w:rPr>
                      <w:rFonts w:ascii="Arial" w:hAnsi="Arial" w:cs="Arial"/>
                      <w:szCs w:val="20"/>
                      <w:lang w:eastAsia="en-US"/>
                    </w:rPr>
                    <w:t xml:space="preserve">Less </w:t>
                  </w:r>
                  <w:r w:rsidR="00511ADA">
                    <w:rPr>
                      <w:rFonts w:ascii="Arial" w:hAnsi="Arial" w:cs="Arial"/>
                      <w:szCs w:val="20"/>
                      <w:lang w:eastAsia="en-US"/>
                    </w:rPr>
                    <w:t xml:space="preserve">grant </w:t>
                  </w:r>
                  <w:r w:rsidRPr="00531D64">
                    <w:rPr>
                      <w:rFonts w:ascii="Arial" w:hAnsi="Arial" w:cs="Arial"/>
                      <w:szCs w:val="20"/>
                      <w:lang w:eastAsia="en-US"/>
                    </w:rPr>
                    <w:t xml:space="preserve">money available for project delivery </w:t>
                  </w:r>
                </w:p>
              </w:tc>
              <w:tc>
                <w:tcPr>
                  <w:tcW w:w="5345" w:type="dxa"/>
                </w:tcPr>
                <w:p w:rsidR="00A46F45" w:rsidRPr="00511ADA" w:rsidRDefault="00141A48" w:rsidP="00141A48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 w:rsidRPr="00531D64">
                    <w:rPr>
                      <w:szCs w:val="20"/>
                    </w:rPr>
                    <w:t xml:space="preserve">Continue commissioning services contracts with organisations who work directly with those most in need (advice centres etc.) updating SLAs to meet the review criteria  including focus on inequalities </w:t>
                  </w:r>
                </w:p>
                <w:p w:rsidR="00511ADA" w:rsidRPr="00531D64" w:rsidRDefault="00511ADA" w:rsidP="00141A48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Grant criteria prioritise work to reduce inequalities</w:t>
                  </w:r>
                </w:p>
                <w:p w:rsidR="00511ADA" w:rsidRPr="00495BA4" w:rsidRDefault="00511ADA" w:rsidP="00511AD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Grant criteria add weight to applications that lever in additional funding</w:t>
                  </w:r>
                </w:p>
                <w:p w:rsidR="00AA02AA" w:rsidRPr="00EC5B12" w:rsidRDefault="00C938DE" w:rsidP="00852CEE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 w:rsidRPr="00531D64">
                    <w:rPr>
                      <w:szCs w:val="20"/>
                    </w:rPr>
                    <w:t xml:space="preserve">Grant criteria </w:t>
                  </w:r>
                  <w:r w:rsidR="00EC5B12">
                    <w:rPr>
                      <w:szCs w:val="20"/>
                    </w:rPr>
                    <w:t xml:space="preserve">and expression of interest stage in the process </w:t>
                  </w:r>
                  <w:r w:rsidRPr="00531D64">
                    <w:rPr>
                      <w:szCs w:val="20"/>
                    </w:rPr>
                    <w:t xml:space="preserve">encourage </w:t>
                  </w:r>
                  <w:r w:rsidR="00274FC3" w:rsidRPr="00531D64">
                    <w:rPr>
                      <w:szCs w:val="20"/>
                    </w:rPr>
                    <w:t>partnership bids</w:t>
                  </w:r>
                  <w:r w:rsidRPr="00531D64">
                    <w:rPr>
                      <w:szCs w:val="20"/>
                    </w:rPr>
                    <w:t xml:space="preserve"> to share resources</w:t>
                  </w:r>
                  <w:r w:rsidR="00434626" w:rsidRPr="00531D64">
                    <w:rPr>
                      <w:szCs w:val="20"/>
                    </w:rPr>
                    <w:t>, reduce duplication</w:t>
                  </w:r>
                  <w:r w:rsidRPr="00531D64">
                    <w:rPr>
                      <w:szCs w:val="20"/>
                    </w:rPr>
                    <w:t xml:space="preserve"> and increase reach</w:t>
                  </w:r>
                </w:p>
                <w:p w:rsidR="00B1240A" w:rsidRPr="00511ADA" w:rsidRDefault="00B1240A" w:rsidP="00B1240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Applications to be run through the Good Exchange and other platforms to attract additional funding</w:t>
                  </w:r>
                </w:p>
                <w:p w:rsidR="00495BA4" w:rsidRPr="00852CEE" w:rsidRDefault="00495BA4" w:rsidP="00B1240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Change the policy on subsidising rentals of commercial premises </w:t>
                  </w:r>
                </w:p>
                <w:p w:rsidR="00511ADA" w:rsidRPr="00511ADA" w:rsidRDefault="00511ADA" w:rsidP="00B1240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Review fees and charges for using OCC owned outdoor spaces</w:t>
                  </w:r>
                  <w:r w:rsidRPr="00531D64">
                    <w:rPr>
                      <w:szCs w:val="20"/>
                    </w:rPr>
                    <w:t xml:space="preserve"> </w:t>
                  </w:r>
                </w:p>
                <w:p w:rsidR="0086318C" w:rsidRPr="00747F9C" w:rsidRDefault="00852CEE" w:rsidP="00511AD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 w:rsidRPr="00531D64">
                    <w:rPr>
                      <w:szCs w:val="20"/>
                    </w:rPr>
                    <w:t>Participation in sessions to share learning for those awarded over £5K</w:t>
                  </w:r>
                </w:p>
                <w:p w:rsidR="00747F9C" w:rsidRPr="00691CCA" w:rsidRDefault="00747F9C" w:rsidP="00511AD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t>Application process to take reserves into consideration</w:t>
                  </w:r>
                </w:p>
                <w:p w:rsidR="000700A9" w:rsidRPr="00511ADA" w:rsidRDefault="000700A9" w:rsidP="00691CCA">
                  <w:pPr>
                    <w:pStyle w:val="ListParagraph"/>
                    <w:numPr>
                      <w:ilvl w:val="0"/>
                      <w:numId w:val="10"/>
                    </w:numPr>
                    <w:ind w:left="417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Work with other funders to </w:t>
                  </w:r>
                  <w:r w:rsidR="00E500CC">
                    <w:rPr>
                      <w:szCs w:val="20"/>
                    </w:rPr>
                    <w:t xml:space="preserve">match/combine </w:t>
                  </w:r>
                  <w:r>
                    <w:rPr>
                      <w:szCs w:val="20"/>
                    </w:rPr>
                    <w:t>funds</w:t>
                  </w:r>
                </w:p>
              </w:tc>
            </w:tr>
            <w:tr w:rsidR="00C05DB0" w:rsidRPr="00531D64" w:rsidTr="000F739A">
              <w:tc>
                <w:tcPr>
                  <w:tcW w:w="5344" w:type="dxa"/>
                </w:tcPr>
                <w:p w:rsidR="00C05DB0" w:rsidRPr="00531D64" w:rsidRDefault="00C05DB0" w:rsidP="00C05DB0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Cs w:val="20"/>
                      <w:lang w:eastAsia="en-US"/>
                    </w:rPr>
                    <w:lastRenderedPageBreak/>
                    <w:t xml:space="preserve">Application </w:t>
                  </w:r>
                  <w:r w:rsidR="00EC5B12">
                    <w:rPr>
                      <w:rFonts w:ascii="Arial" w:hAnsi="Arial" w:cs="Arial"/>
                      <w:szCs w:val="20"/>
                      <w:lang w:eastAsia="en-US"/>
                    </w:rPr>
                    <w:t xml:space="preserve">and monitoring </w:t>
                  </w:r>
                  <w:r>
                    <w:rPr>
                      <w:rFonts w:ascii="Arial" w:hAnsi="Arial" w:cs="Arial"/>
                      <w:szCs w:val="20"/>
                      <w:lang w:eastAsia="en-US"/>
                    </w:rPr>
                    <w:t>processes have been a barrier to access for some groups including those for whom English isn’t their first language</w:t>
                  </w:r>
                </w:p>
              </w:tc>
              <w:tc>
                <w:tcPr>
                  <w:tcW w:w="5345" w:type="dxa"/>
                </w:tcPr>
                <w:p w:rsidR="00C05DB0" w:rsidRDefault="00C05DB0" w:rsidP="00550F86">
                  <w:pPr>
                    <w:pStyle w:val="ListParagraph"/>
                    <w:numPr>
                      <w:ilvl w:val="0"/>
                      <w:numId w:val="13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Streamline </w:t>
                  </w:r>
                  <w:r w:rsidRPr="004B6C44">
                    <w:rPr>
                      <w:szCs w:val="20"/>
                    </w:rPr>
                    <w:t>paperwork for application and monitoring</w:t>
                  </w:r>
                </w:p>
                <w:p w:rsidR="00AD1C56" w:rsidRPr="004B6C44" w:rsidRDefault="00AD1C56" w:rsidP="00550F86">
                  <w:pPr>
                    <w:pStyle w:val="ListParagraph"/>
                    <w:numPr>
                      <w:ilvl w:val="0"/>
                      <w:numId w:val="13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Use plain English and avoid jargon</w:t>
                  </w:r>
                  <w:r w:rsidR="009E300C">
                    <w:rPr>
                      <w:szCs w:val="20"/>
                    </w:rPr>
                    <w:t xml:space="preserve"> </w:t>
                  </w:r>
                </w:p>
                <w:p w:rsidR="00C05DB0" w:rsidRDefault="00C05DB0" w:rsidP="00550F86">
                  <w:pPr>
                    <w:pStyle w:val="ListParagraph"/>
                    <w:numPr>
                      <w:ilvl w:val="0"/>
                      <w:numId w:val="13"/>
                    </w:numPr>
                    <w:ind w:left="417"/>
                    <w:rPr>
                      <w:szCs w:val="20"/>
                    </w:rPr>
                  </w:pPr>
                  <w:r w:rsidRPr="004B6C44">
                    <w:rPr>
                      <w:szCs w:val="20"/>
                    </w:rPr>
                    <w:t xml:space="preserve">Allow applications </w:t>
                  </w:r>
                  <w:r w:rsidR="00EC5B12">
                    <w:rPr>
                      <w:szCs w:val="20"/>
                    </w:rPr>
                    <w:t xml:space="preserve">and monitoring information </w:t>
                  </w:r>
                  <w:r w:rsidRPr="004B6C44">
                    <w:rPr>
                      <w:szCs w:val="20"/>
                    </w:rPr>
                    <w:t xml:space="preserve">to be made in different </w:t>
                  </w:r>
                  <w:r w:rsidR="00C5402A">
                    <w:rPr>
                      <w:szCs w:val="20"/>
                    </w:rPr>
                    <w:t xml:space="preserve">ways including different </w:t>
                  </w:r>
                  <w:r w:rsidRPr="004B6C44">
                    <w:rPr>
                      <w:szCs w:val="20"/>
                    </w:rPr>
                    <w:t xml:space="preserve">languages and </w:t>
                  </w:r>
                  <w:r w:rsidR="00C5402A">
                    <w:rPr>
                      <w:szCs w:val="20"/>
                    </w:rPr>
                    <w:t xml:space="preserve">different formats e.g. </w:t>
                  </w:r>
                  <w:r w:rsidRPr="004B6C44">
                    <w:rPr>
                      <w:szCs w:val="20"/>
                    </w:rPr>
                    <w:t>video submissions</w:t>
                  </w:r>
                </w:p>
                <w:p w:rsidR="00495BA4" w:rsidRDefault="00C05DB0" w:rsidP="00550F86">
                  <w:pPr>
                    <w:pStyle w:val="ListParagraph"/>
                    <w:numPr>
                      <w:ilvl w:val="0"/>
                      <w:numId w:val="13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Develop online grant application and management system </w:t>
                  </w:r>
                  <w:r w:rsidR="00C5402A">
                    <w:rPr>
                      <w:szCs w:val="20"/>
                    </w:rPr>
                    <w:t>with support prompts</w:t>
                  </w:r>
                </w:p>
                <w:p w:rsidR="00495BA4" w:rsidRPr="00550F86" w:rsidRDefault="00495BA4" w:rsidP="00747F9C">
                  <w:pPr>
                    <w:pStyle w:val="ListParagraph"/>
                    <w:numPr>
                      <w:ilvl w:val="0"/>
                      <w:numId w:val="13"/>
                    </w:numPr>
                    <w:ind w:left="417"/>
                    <w:rPr>
                      <w:szCs w:val="20"/>
                    </w:rPr>
                  </w:pPr>
                  <w:r>
                    <w:t xml:space="preserve">Provide more coaching and support for CVS </w:t>
                  </w:r>
                  <w:r w:rsidR="00F00884">
                    <w:t xml:space="preserve">including equalities led groups </w:t>
                  </w:r>
                  <w:r>
                    <w:t>to build capacity</w:t>
                  </w:r>
                  <w:r w:rsidR="00550F86">
                    <w:t>/skills</w:t>
                  </w:r>
                  <w:r>
                    <w:t xml:space="preserve"> </w:t>
                  </w:r>
                  <w:r w:rsidR="00EC5B12">
                    <w:t>via funding surgeries and learning sessions</w:t>
                  </w:r>
                </w:p>
              </w:tc>
            </w:tr>
            <w:tr w:rsidR="00C05DB0" w:rsidRPr="00531D64" w:rsidTr="000F739A">
              <w:tc>
                <w:tcPr>
                  <w:tcW w:w="5344" w:type="dxa"/>
                </w:tcPr>
                <w:p w:rsidR="00C05DB0" w:rsidRPr="00531D64" w:rsidRDefault="00C05DB0" w:rsidP="00C05DB0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Cs w:val="20"/>
                      <w:lang w:eastAsia="en-US"/>
                    </w:rPr>
                    <w:t>Some groups are unaware of the funding available</w:t>
                  </w:r>
                </w:p>
              </w:tc>
              <w:tc>
                <w:tcPr>
                  <w:tcW w:w="5345" w:type="dxa"/>
                </w:tcPr>
                <w:p w:rsidR="00C05DB0" w:rsidRDefault="00C05DB0" w:rsidP="00C5402A">
                  <w:pPr>
                    <w:pStyle w:val="ListParagraph"/>
                    <w:numPr>
                      <w:ilvl w:val="0"/>
                      <w:numId w:val="14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Promote funding calls more widely targeting  underrepresented groups</w:t>
                  </w:r>
                </w:p>
                <w:p w:rsidR="00494222" w:rsidRDefault="00494222" w:rsidP="00C5402A">
                  <w:pPr>
                    <w:pStyle w:val="ListParagraph"/>
                    <w:numPr>
                      <w:ilvl w:val="0"/>
                      <w:numId w:val="14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Run regular funding surgeries – moving around the locality areas – to help promote and support</w:t>
                  </w:r>
                </w:p>
                <w:p w:rsidR="009E05DE" w:rsidRDefault="009E05DE" w:rsidP="00C5402A">
                  <w:pPr>
                    <w:pStyle w:val="ListParagraph"/>
                    <w:numPr>
                      <w:ilvl w:val="0"/>
                      <w:numId w:val="14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Actively promote the grants programme and its benefits at diverse events in the city e.g. Cowley Road Carnival, Pride etc.</w:t>
                  </w:r>
                </w:p>
                <w:p w:rsidR="007C675C" w:rsidRPr="00C5402A" w:rsidRDefault="007C675C" w:rsidP="007C675C">
                  <w:pPr>
                    <w:pStyle w:val="ListParagraph"/>
                    <w:numPr>
                      <w:ilvl w:val="0"/>
                      <w:numId w:val="14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Identify community based equalities champions to help promote</w:t>
                  </w:r>
                </w:p>
              </w:tc>
            </w:tr>
            <w:tr w:rsidR="00C05DB0" w:rsidRPr="00531D64" w:rsidTr="00A46F45">
              <w:tc>
                <w:tcPr>
                  <w:tcW w:w="5344" w:type="dxa"/>
                </w:tcPr>
                <w:p w:rsidR="00C05DB0" w:rsidRPr="00531D64" w:rsidRDefault="00C05DB0" w:rsidP="00691CCA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531D64">
                    <w:rPr>
                      <w:rFonts w:ascii="Arial" w:hAnsi="Arial" w:cs="Arial"/>
                      <w:szCs w:val="20"/>
                      <w:lang w:eastAsia="en-US"/>
                    </w:rPr>
                    <w:t xml:space="preserve">Some groups </w:t>
                  </w:r>
                  <w:r w:rsidR="0041071B">
                    <w:rPr>
                      <w:rFonts w:ascii="Arial" w:hAnsi="Arial" w:cs="Arial"/>
                      <w:szCs w:val="20"/>
                      <w:lang w:eastAsia="en-US"/>
                    </w:rPr>
                    <w:t xml:space="preserve">and individuals </w:t>
                  </w:r>
                  <w:r w:rsidR="00EA17DB">
                    <w:rPr>
                      <w:rFonts w:ascii="Arial" w:hAnsi="Arial" w:cs="Arial"/>
                      <w:szCs w:val="20"/>
                      <w:lang w:eastAsia="en-US"/>
                    </w:rPr>
                    <w:t xml:space="preserve">deliver </w:t>
                  </w:r>
                  <w:r w:rsidRPr="00531D64">
                    <w:rPr>
                      <w:rFonts w:ascii="Arial" w:hAnsi="Arial" w:cs="Arial"/>
                      <w:szCs w:val="20"/>
                      <w:lang w:eastAsia="en-US"/>
                    </w:rPr>
                    <w:t xml:space="preserve">excellent work but are not officially constituted </w:t>
                  </w:r>
                </w:p>
              </w:tc>
              <w:tc>
                <w:tcPr>
                  <w:tcW w:w="5345" w:type="dxa"/>
                </w:tcPr>
                <w:p w:rsidR="00C05DB0" w:rsidRDefault="00C05DB0" w:rsidP="00C05DB0">
                  <w:pPr>
                    <w:pStyle w:val="ListParagraph"/>
                    <w:numPr>
                      <w:ilvl w:val="0"/>
                      <w:numId w:val="12"/>
                    </w:numPr>
                    <w:ind w:left="417"/>
                    <w:rPr>
                      <w:szCs w:val="20"/>
                    </w:rPr>
                  </w:pPr>
                  <w:r w:rsidRPr="00691CCA">
                    <w:rPr>
                      <w:szCs w:val="20"/>
                    </w:rPr>
                    <w:t>Accept applications for small grants from groups without an official constitution as long as they have a bank account with 2 signatories</w:t>
                  </w:r>
                </w:p>
                <w:p w:rsidR="00E11983" w:rsidRPr="00E11983" w:rsidRDefault="00E11983" w:rsidP="00C05DB0">
                  <w:pPr>
                    <w:pStyle w:val="ListParagraph"/>
                    <w:numPr>
                      <w:ilvl w:val="0"/>
                      <w:numId w:val="12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t xml:space="preserve">Continue to accept small </w:t>
                  </w:r>
                  <w:r w:rsidR="004F1D5C">
                    <w:rPr>
                      <w:szCs w:val="20"/>
                    </w:rPr>
                    <w:t xml:space="preserve">grant </w:t>
                  </w:r>
                  <w:r>
                    <w:rPr>
                      <w:szCs w:val="20"/>
                    </w:rPr>
                    <w:t>applications from individual artists from diverse backgrounds to enable them to lever in funding from Arts Council England to support their creative development</w:t>
                  </w:r>
                </w:p>
                <w:p w:rsidR="00C05DB0" w:rsidRPr="00531D64" w:rsidRDefault="00C05DB0" w:rsidP="00C05DB0">
                  <w:pPr>
                    <w:pStyle w:val="ListParagraph"/>
                    <w:numPr>
                      <w:ilvl w:val="0"/>
                      <w:numId w:val="12"/>
                    </w:numPr>
                    <w:ind w:left="4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Run regular funding surgeries to support groups to become constituted where this will increase their ability to raise funding etc.</w:t>
                  </w:r>
                </w:p>
                <w:p w:rsidR="00C05DB0" w:rsidRPr="00531D64" w:rsidRDefault="00C05DB0" w:rsidP="00C05DB0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</w:p>
              </w:tc>
            </w:tr>
          </w:tbl>
          <w:p w:rsidR="00A46F45" w:rsidRDefault="00A46F45" w:rsidP="00607E08">
            <w:pPr>
              <w:rPr>
                <w:rFonts w:ascii="Arial" w:hAnsi="Arial" w:cs="Arial"/>
                <w:b/>
                <w:szCs w:val="20"/>
                <w:highlight w:val="yellow"/>
                <w:lang w:eastAsia="en-US"/>
              </w:rPr>
            </w:pPr>
          </w:p>
          <w:p w:rsidR="00607E08" w:rsidRPr="0006524C" w:rsidRDefault="00607E08" w:rsidP="008924B3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Having been considered by CMT on </w:t>
            </w:r>
            <w:r w:rsidR="00A165DD">
              <w:rPr>
                <w:rFonts w:ascii="Arial" w:hAnsi="Arial" w:cs="Arial"/>
                <w:szCs w:val="20"/>
                <w:lang w:eastAsia="en-US"/>
              </w:rPr>
              <w:t>11 October 2021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="008924B3">
              <w:rPr>
                <w:rFonts w:ascii="Arial" w:hAnsi="Arial" w:cs="Arial"/>
                <w:szCs w:val="20"/>
                <w:lang w:eastAsia="en-US"/>
              </w:rPr>
              <w:t xml:space="preserve">and the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Leaders’ Meeting on </w:t>
            </w:r>
            <w:r w:rsidR="00A165DD">
              <w:rPr>
                <w:rFonts w:ascii="Arial" w:hAnsi="Arial" w:cs="Arial"/>
                <w:szCs w:val="20"/>
                <w:lang w:eastAsia="en-US"/>
              </w:rPr>
              <w:t>13 October 2021</w:t>
            </w:r>
            <w:r w:rsidR="00A46F45">
              <w:rPr>
                <w:rFonts w:ascii="Arial" w:hAnsi="Arial" w:cs="Arial"/>
                <w:szCs w:val="20"/>
                <w:lang w:eastAsia="en-US"/>
              </w:rPr>
              <w:t>,</w:t>
            </w:r>
            <w:r w:rsidR="008924B3">
              <w:rPr>
                <w:rFonts w:ascii="Arial" w:hAnsi="Arial" w:cs="Arial"/>
                <w:szCs w:val="20"/>
                <w:lang w:eastAsia="en-US"/>
              </w:rPr>
              <w:t xml:space="preserve"> further work is being done on the report before the recommendations are shared with consultees for their response</w:t>
            </w:r>
            <w:r w:rsidR="00B347CB">
              <w:rPr>
                <w:rFonts w:ascii="Arial" w:hAnsi="Arial" w:cs="Arial"/>
                <w:szCs w:val="20"/>
                <w:lang w:eastAsia="en-US"/>
              </w:rPr>
              <w:t xml:space="preserve"> as per the report milestone plan</w:t>
            </w:r>
            <w:r w:rsidR="00A165DD">
              <w:rPr>
                <w:rFonts w:ascii="Arial" w:hAnsi="Arial" w:cs="Arial"/>
                <w:szCs w:val="20"/>
                <w:lang w:eastAsia="en-US"/>
              </w:rPr>
              <w:t>.</w:t>
            </w:r>
          </w:p>
        </w:tc>
      </w:tr>
      <w:tr w:rsidR="001F515A" w:rsidRPr="001F515A" w:rsidTr="00944A56">
        <w:trPr>
          <w:trHeight w:val="8175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7070ED" w:rsidRPr="0006524C" w:rsidRDefault="007070ED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F382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Positive impact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:rsidR="00041903" w:rsidRDefault="00041903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A46F45" w:rsidRPr="001F515A" w:rsidRDefault="00C30540" w:rsidP="00C30540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actions and mitigations detailed above have been designed to have a positive aspect those most in need including those with protected characteristics who have been most impacted by the pandemic.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3C118C" w:rsidRPr="001F515A" w:rsidRDefault="00A165DD" w:rsidP="0071519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 xml:space="preserve">The recommendations seek to address all the key equalities related issues picked up in the report with </w:t>
            </w:r>
            <w:r w:rsidR="00C30540">
              <w:rPr>
                <w:rFonts w:ascii="Arial" w:hAnsi="Arial" w:cs="Arial"/>
                <w:szCs w:val="20"/>
                <w:lang w:eastAsia="en-US"/>
              </w:rPr>
              <w:t xml:space="preserve">two </w:t>
            </w:r>
            <w:r>
              <w:rPr>
                <w:rFonts w:ascii="Arial" w:hAnsi="Arial" w:cs="Arial"/>
                <w:szCs w:val="20"/>
                <w:lang w:eastAsia="en-US"/>
              </w:rPr>
              <w:t>exception</w:t>
            </w:r>
            <w:r w:rsidR="00C30540">
              <w:rPr>
                <w:rFonts w:ascii="Arial" w:hAnsi="Arial" w:cs="Arial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.  </w:t>
            </w:r>
            <w:r w:rsidR="00C30540">
              <w:rPr>
                <w:rFonts w:ascii="Arial" w:hAnsi="Arial" w:cs="Arial"/>
                <w:szCs w:val="20"/>
                <w:lang w:eastAsia="en-US"/>
              </w:rPr>
              <w:t xml:space="preserve">These were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a request by a number of diverse community groups to provide </w:t>
            </w: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additional venue space for their use subsidised by Oxford City Council</w:t>
            </w:r>
            <w:r w:rsidR="00C30540">
              <w:rPr>
                <w:rFonts w:ascii="Arial" w:hAnsi="Arial" w:cs="Arial"/>
                <w:szCs w:val="20"/>
                <w:lang w:eastAsia="en-US"/>
              </w:rPr>
              <w:t xml:space="preserve"> and some consultees suggesting that no cuts should be made to the </w:t>
            </w:r>
            <w:r w:rsidR="00715197">
              <w:rPr>
                <w:rFonts w:ascii="Arial" w:hAnsi="Arial" w:cs="Arial"/>
                <w:szCs w:val="20"/>
                <w:lang w:eastAsia="en-US"/>
              </w:rPr>
              <w:t xml:space="preserve">overall </w:t>
            </w:r>
            <w:r w:rsidR="00C30540">
              <w:rPr>
                <w:rFonts w:ascii="Arial" w:hAnsi="Arial" w:cs="Arial"/>
                <w:szCs w:val="20"/>
                <w:lang w:eastAsia="en-US"/>
              </w:rPr>
              <w:t>funding available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.  </w:t>
            </w:r>
            <w:r w:rsidR="00715197">
              <w:rPr>
                <w:rFonts w:ascii="Arial" w:hAnsi="Arial" w:cs="Arial"/>
                <w:szCs w:val="20"/>
                <w:lang w:eastAsia="en-US"/>
              </w:rPr>
              <w:t xml:space="preserve">These </w:t>
            </w:r>
            <w:r>
              <w:rPr>
                <w:rFonts w:ascii="Arial" w:hAnsi="Arial" w:cs="Arial"/>
                <w:szCs w:val="20"/>
                <w:lang w:eastAsia="en-US"/>
              </w:rPr>
              <w:t>option</w:t>
            </w:r>
            <w:r w:rsidR="00715197">
              <w:rPr>
                <w:rFonts w:ascii="Arial" w:hAnsi="Arial" w:cs="Arial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could not be afforded within the budget.  However, the groups will be supported to look at alternative solutions via external funding, signposting and partnership working. </w:t>
            </w:r>
          </w:p>
        </w:tc>
      </w:tr>
      <w:tr w:rsidR="001F515A" w:rsidRPr="001F515A" w:rsidTr="00ED20C9">
        <w:trPr>
          <w:trHeight w:val="359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:rsidR="009F00B3" w:rsidRDefault="00A165DD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impact of the grants will be monitored via qualitative and quantitative</w:t>
            </w:r>
            <w:r w:rsidR="00715197">
              <w:rPr>
                <w:rFonts w:ascii="Arial" w:hAnsi="Arial" w:cs="Arial"/>
                <w:szCs w:val="20"/>
                <w:lang w:eastAsia="en-US"/>
              </w:rPr>
              <w:t xml:space="preserve"> monitoring including:</w:t>
            </w:r>
          </w:p>
          <w:p w:rsidR="00715197" w:rsidRDefault="00715197" w:rsidP="00D415EF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Statistical information relating to beneficiaries</w:t>
            </w:r>
          </w:p>
          <w:p w:rsidR="00715197" w:rsidRDefault="00F660B2" w:rsidP="00D415EF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Learning sessions to share best practice, identify and mitigate gaps</w:t>
            </w:r>
            <w:r w:rsidR="007E6E50">
              <w:rPr>
                <w:szCs w:val="20"/>
              </w:rPr>
              <w:t xml:space="preserve"> </w:t>
            </w:r>
          </w:p>
          <w:p w:rsidR="00715197" w:rsidRDefault="00715197" w:rsidP="00D415EF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Impact monitoring over a longer period of time including case studies, photos, videos etc.</w:t>
            </w:r>
          </w:p>
          <w:p w:rsidR="00D415EF" w:rsidRPr="00691CCA" w:rsidRDefault="00D415EF" w:rsidP="00691CCA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120"/>
              <w:contextualSpacing w:val="0"/>
              <w:jc w:val="both"/>
            </w:pPr>
            <w:r>
              <w:t>C</w:t>
            </w:r>
            <w:r w:rsidRPr="001B1351">
              <w:t xml:space="preserve">riteria and weighting </w:t>
            </w:r>
            <w:r>
              <w:t xml:space="preserve">will be reviewed annually </w:t>
            </w:r>
            <w:r w:rsidRPr="001B1351">
              <w:t>to ensure the programme remain</w:t>
            </w:r>
            <w:r>
              <w:t>s</w:t>
            </w:r>
            <w:r w:rsidRPr="001B1351">
              <w:t xml:space="preserve"> </w:t>
            </w:r>
            <w:r>
              <w:t xml:space="preserve">fully transparent, inclusive and </w:t>
            </w:r>
            <w:r w:rsidRPr="001B1351">
              <w:t>aligned with the Counci</w:t>
            </w:r>
            <w:r>
              <w:t>l's</w:t>
            </w:r>
            <w:r w:rsidRPr="001B1351">
              <w:t xml:space="preserve"> </w:t>
            </w:r>
            <w:r>
              <w:t xml:space="preserve">strategic </w:t>
            </w:r>
            <w:r w:rsidRPr="001B1351">
              <w:t>priorties. An a</w:t>
            </w:r>
            <w:r>
              <w:t>nnual report will come to cabin</w:t>
            </w:r>
            <w:r w:rsidRPr="001B1351">
              <w:t xml:space="preserve">et reviewing the </w:t>
            </w:r>
            <w:r>
              <w:t>previous</w:t>
            </w:r>
            <w:r w:rsidRPr="001B1351">
              <w:t xml:space="preserve"> year and </w:t>
            </w:r>
            <w:r>
              <w:t xml:space="preserve">proposing </w:t>
            </w:r>
            <w:r w:rsidRPr="001B1351">
              <w:t>any changes to the criteria.</w:t>
            </w:r>
          </w:p>
          <w:p w:rsidR="001F515A" w:rsidRPr="001F515A" w:rsidRDefault="001F515A" w:rsidP="008878A1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9F3826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</w:t>
            </w:r>
            <w:r w:rsidR="009F3826">
              <w:rPr>
                <w:rFonts w:ascii="Arial" w:hAnsi="Arial" w:cs="Arial"/>
                <w:b/>
                <w:szCs w:val="20"/>
                <w:lang w:eastAsia="en-US"/>
              </w:rPr>
              <w:t>Corporate Management Team</w:t>
            </w: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: </w:t>
            </w:r>
          </w:p>
        </w:tc>
        <w:tc>
          <w:tcPr>
            <w:tcW w:w="10915" w:type="dxa"/>
            <w:gridSpan w:val="8"/>
          </w:tcPr>
          <w:p w:rsidR="001F515A" w:rsidRPr="001F515A" w:rsidRDefault="00541AC0" w:rsidP="00760DAE">
            <w:pPr>
              <w:rPr>
                <w:rFonts w:ascii="Arial" w:hAnsi="Arial" w:cs="Arial"/>
                <w:szCs w:val="20"/>
                <w:lang w:eastAsia="en-US"/>
              </w:rPr>
            </w:pPr>
            <w:r w:rsidRPr="00541AC0">
              <w:rPr>
                <w:rFonts w:ascii="Arial" w:hAnsi="Arial" w:cs="Arial"/>
                <w:szCs w:val="20"/>
                <w:highlight w:val="yellow"/>
                <w:lang w:eastAsia="en-US"/>
              </w:rPr>
              <w:t>#</w:t>
            </w:r>
            <w:r w:rsidR="009F3826" w:rsidRPr="00541AC0">
              <w:rPr>
                <w:rFonts w:ascii="Arial" w:hAnsi="Arial" w:cs="Arial"/>
                <w:szCs w:val="20"/>
                <w:highlight w:val="yellow"/>
                <w:lang w:eastAsia="en-US"/>
              </w:rPr>
              <w:t xml:space="preserve"> October 2021</w:t>
            </w:r>
          </w:p>
        </w:tc>
      </w:tr>
      <w:tr w:rsidR="001F515A" w:rsidRPr="001F515A" w:rsidTr="00ED20C9">
        <w:trPr>
          <w:trHeight w:val="782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A165DD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 w:rsidRPr="00A165DD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:rsidR="003C118C" w:rsidRPr="00A165DD" w:rsidRDefault="00A165DD" w:rsidP="000652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conclusion is to adopt the report recommendations in order to mitigate the impact of Covid on Oxford’s diverse communities.</w:t>
            </w: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06524C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  <w:r w:rsidR="00C44123">
              <w:rPr>
                <w:rFonts w:ascii="Arial" w:hAnsi="Arial" w:cs="Arial"/>
                <w:bCs/>
                <w:szCs w:val="20"/>
                <w:lang w:eastAsia="en-US"/>
              </w:rPr>
              <w:t xml:space="preserve"> – the actions above are embedded within service plans</w:t>
            </w: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C44123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NA</w:t>
            </w: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D20C9" w:rsidRPr="001F515A" w:rsidRDefault="00C44123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NA</w:t>
            </w: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C44123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NA</w:t>
            </w: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AD4D5F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14. Date reported to </w:t>
            </w:r>
            <w:r w:rsidR="00AD4D5F">
              <w:rPr>
                <w:rFonts w:ascii="Arial" w:hAnsi="Arial" w:cs="Arial"/>
                <w:b/>
                <w:szCs w:val="20"/>
                <w:lang w:eastAsia="en-US"/>
              </w:rPr>
              <w:t>CMT</w:t>
            </w: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AD4D5F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11 October 2021</w:t>
            </w: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ED20C9" w:rsidRPr="001F515A" w:rsidRDefault="00C44123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NA</w:t>
            </w: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="00C44123">
        <w:rPr>
          <w:rFonts w:ascii="Arial" w:hAnsi="Arial" w:cs="Arial"/>
          <w:noProof/>
          <w:szCs w:val="20"/>
        </w:rPr>
        <w:drawing>
          <wp:inline distT="0" distB="0" distL="0" distR="0">
            <wp:extent cx="1030778" cy="42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8" cy="42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672EEF" w:rsidRDefault="00BE06BA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Assessing equalities impacts </w:t>
      </w:r>
      <w:r w:rsidR="002B788C">
        <w:rPr>
          <w:rFonts w:ascii="Arial" w:hAnsi="Arial" w:cs="Arial"/>
          <w:szCs w:val="20"/>
          <w:lang w:eastAsia="en-US"/>
        </w:rPr>
        <w:t xml:space="preserve">was </w:t>
      </w:r>
      <w:r w:rsidR="00672EEF">
        <w:rPr>
          <w:rFonts w:ascii="Arial" w:hAnsi="Arial" w:cs="Arial"/>
          <w:szCs w:val="20"/>
          <w:lang w:eastAsia="en-US"/>
        </w:rPr>
        <w:t xml:space="preserve">done at every stage of the grant review process </w:t>
      </w:r>
      <w:r>
        <w:rPr>
          <w:rFonts w:ascii="Arial" w:hAnsi="Arial" w:cs="Arial"/>
          <w:szCs w:val="20"/>
          <w:lang w:eastAsia="en-US"/>
        </w:rPr>
        <w:t xml:space="preserve">including at review board meetings and in consultation meetings </w:t>
      </w:r>
      <w:r w:rsidR="008924B3">
        <w:rPr>
          <w:rFonts w:ascii="Arial" w:hAnsi="Arial" w:cs="Arial"/>
          <w:szCs w:val="20"/>
          <w:lang w:eastAsia="en-US"/>
        </w:rPr>
        <w:t xml:space="preserve">externally and internally </w:t>
      </w:r>
      <w:r>
        <w:rPr>
          <w:rFonts w:ascii="Arial" w:hAnsi="Arial" w:cs="Arial"/>
          <w:szCs w:val="20"/>
          <w:lang w:eastAsia="en-US"/>
        </w:rPr>
        <w:t xml:space="preserve">with the officers listed below.  The officers in bold were specifically involved in inputting into the Equalities Impact Assessment paperwork but everyone contributed throughout: </w:t>
      </w:r>
    </w:p>
    <w:p w:rsidR="00672EEF" w:rsidRPr="001F515A" w:rsidRDefault="00672EEF" w:rsidP="001F515A">
      <w:pPr>
        <w:rPr>
          <w:rFonts w:ascii="Arial" w:hAnsi="Arial" w:cs="Arial"/>
          <w:szCs w:val="20"/>
          <w:lang w:eastAsia="en-US"/>
        </w:rPr>
      </w:pPr>
    </w:p>
    <w:p w:rsidR="00C44123" w:rsidRDefault="008E47F8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Nadeem Murtuja – </w:t>
      </w:r>
      <w:r w:rsidR="001A6406">
        <w:rPr>
          <w:rFonts w:ascii="Arial" w:hAnsi="Arial" w:cs="Arial"/>
          <w:szCs w:val="20"/>
          <w:lang w:eastAsia="en-US"/>
        </w:rPr>
        <w:t xml:space="preserve">Interim </w:t>
      </w:r>
      <w:r w:rsidR="00C44123">
        <w:rPr>
          <w:rFonts w:ascii="Arial" w:hAnsi="Arial" w:cs="Arial"/>
          <w:szCs w:val="20"/>
          <w:lang w:eastAsia="en-US"/>
        </w:rPr>
        <w:t>Director of Communities and Customers</w:t>
      </w:r>
    </w:p>
    <w:p w:rsidR="00C44123" w:rsidRPr="00B77030" w:rsidRDefault="008E47F8" w:rsidP="001F515A">
      <w:pPr>
        <w:rPr>
          <w:rFonts w:ascii="Arial" w:hAnsi="Arial" w:cs="Arial"/>
          <w:szCs w:val="20"/>
          <w:lang w:eastAsia="en-US"/>
        </w:rPr>
      </w:pPr>
      <w:r w:rsidRPr="00B77030">
        <w:rPr>
          <w:rFonts w:ascii="Arial" w:hAnsi="Arial" w:cs="Arial"/>
          <w:szCs w:val="20"/>
          <w:lang w:eastAsia="en-US"/>
        </w:rPr>
        <w:t xml:space="preserve">Ian Brooke – </w:t>
      </w:r>
      <w:r w:rsidR="00C44123" w:rsidRPr="00B77030">
        <w:rPr>
          <w:rFonts w:ascii="Arial" w:hAnsi="Arial" w:cs="Arial"/>
          <w:szCs w:val="20"/>
          <w:lang w:eastAsia="en-US"/>
        </w:rPr>
        <w:t>Head of Community Services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Claire Freeman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Transformation Lead</w:t>
      </w:r>
    </w:p>
    <w:p w:rsidR="00C44123" w:rsidRPr="00BE06BA" w:rsidRDefault="008E47F8" w:rsidP="001F515A">
      <w:pPr>
        <w:rPr>
          <w:rFonts w:ascii="Arial" w:hAnsi="Arial" w:cs="Arial"/>
          <w:b/>
          <w:szCs w:val="20"/>
          <w:lang w:eastAsia="en-US"/>
        </w:rPr>
      </w:pPr>
      <w:r w:rsidRPr="00BE06BA">
        <w:rPr>
          <w:rFonts w:ascii="Arial" w:hAnsi="Arial" w:cs="Arial"/>
          <w:b/>
          <w:szCs w:val="20"/>
          <w:lang w:eastAsia="en-US"/>
        </w:rPr>
        <w:t xml:space="preserve">Paula Redway – </w:t>
      </w:r>
      <w:r w:rsidR="00C44123" w:rsidRPr="00BE06BA">
        <w:rPr>
          <w:rFonts w:ascii="Arial" w:hAnsi="Arial" w:cs="Arial"/>
          <w:b/>
          <w:szCs w:val="20"/>
          <w:lang w:eastAsia="en-US"/>
        </w:rPr>
        <w:t>Culture and Community Development Manager</w:t>
      </w:r>
    </w:p>
    <w:p w:rsidR="00C44123" w:rsidRPr="00BE06BA" w:rsidRDefault="008E47F8" w:rsidP="001F515A">
      <w:pPr>
        <w:rPr>
          <w:rFonts w:ascii="Arial" w:hAnsi="Arial" w:cs="Arial"/>
          <w:b/>
          <w:szCs w:val="20"/>
          <w:lang w:eastAsia="en-US"/>
        </w:rPr>
      </w:pPr>
      <w:r w:rsidRPr="00BE06BA">
        <w:rPr>
          <w:rFonts w:ascii="Arial" w:hAnsi="Arial" w:cs="Arial"/>
          <w:b/>
          <w:szCs w:val="20"/>
          <w:lang w:eastAsia="en-US"/>
        </w:rPr>
        <w:t xml:space="preserve">Adrian Green – </w:t>
      </w:r>
      <w:r w:rsidR="00C44123" w:rsidRPr="00BE06BA">
        <w:rPr>
          <w:rFonts w:ascii="Arial" w:hAnsi="Arial" w:cs="Arial"/>
          <w:b/>
          <w:szCs w:val="20"/>
          <w:lang w:eastAsia="en-US"/>
        </w:rPr>
        <w:t>Grant Review Project Manager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>James Pickering Communities Manager (Advice centres)</w:t>
      </w:r>
    </w:p>
    <w:p w:rsidR="00BE06BA" w:rsidRPr="009244CF" w:rsidRDefault="00BE06BA" w:rsidP="00B77030">
      <w:pPr>
        <w:rPr>
          <w:rFonts w:ascii="Arial" w:hAnsi="Arial" w:cs="Arial"/>
          <w:b/>
        </w:rPr>
      </w:pPr>
      <w:r w:rsidRPr="009244CF">
        <w:rPr>
          <w:rFonts w:ascii="Arial" w:hAnsi="Arial" w:cs="Arial"/>
          <w:b/>
        </w:rPr>
        <w:t xml:space="preserve">Jubeen Ashraf – Locality </w:t>
      </w:r>
      <w:r w:rsidR="009244CF" w:rsidRPr="009244CF">
        <w:rPr>
          <w:rFonts w:ascii="Arial" w:hAnsi="Arial" w:cs="Arial"/>
          <w:b/>
        </w:rPr>
        <w:t>Coordin</w:t>
      </w:r>
      <w:r w:rsidRPr="009244CF">
        <w:rPr>
          <w:rFonts w:ascii="Arial" w:hAnsi="Arial" w:cs="Arial"/>
          <w:b/>
        </w:rPr>
        <w:t>ator</w:t>
      </w:r>
    </w:p>
    <w:p w:rsid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Joseph Barrett Youth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Ambition Manager 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Paul Backman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Sports Development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James Baughan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Communities Service Development Officer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Helen Bishop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Head of Business Improvement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Emma Burson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Finance Manager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>Chris Cameron</w:t>
      </w:r>
      <w:r>
        <w:rPr>
          <w:rFonts w:ascii="Arial" w:hAnsi="Arial" w:cs="Arial"/>
        </w:rPr>
        <w:t xml:space="preserve"> – </w:t>
      </w:r>
      <w:r w:rsidRPr="00B77030">
        <w:rPr>
          <w:rFonts w:ascii="Arial" w:hAnsi="Arial" w:cs="Arial"/>
        </w:rPr>
        <w:t>Data Analyst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Maddy Cameron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Equalities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Jasmin Carne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Communities Support Officer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Julia Castle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Property Manager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lastRenderedPageBreak/>
        <w:t xml:space="preserve">Mark Chandler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Performance and Resource officer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Caroline Chanides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Green Space Development Officer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Val Churchill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Locality Support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Alan Foulkes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Localities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Lorraine Freeman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Development Funding Officer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Vicki Galvin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Sport and Physical Activity Manager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Dani Granito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Policy and Partnerships Team Manager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Larissa Griffin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Senior Estates Surveyor</w:t>
      </w:r>
    </w:p>
    <w:p w:rsidR="00B77030" w:rsidRPr="00B77030" w:rsidRDefault="00B77030" w:rsidP="00B7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Simon Grove-White – </w:t>
      </w:r>
      <w:r w:rsidRPr="00B77030">
        <w:rPr>
          <w:rFonts w:ascii="Arial" w:hAnsi="Arial" w:cs="Arial"/>
        </w:rPr>
        <w:t>Principal Economic Development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Emma Gubbins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Asset Manager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lly Hicks – </w:t>
      </w:r>
      <w:r w:rsidRPr="00B77030">
        <w:rPr>
          <w:rFonts w:ascii="Arial" w:hAnsi="Arial" w:cs="Arial"/>
        </w:rPr>
        <w:t>Data Analyst</w:t>
      </w:r>
    </w:p>
    <w:p w:rsidR="00672EEF" w:rsidRPr="009244CF" w:rsidRDefault="00672EEF" w:rsidP="00672EEF">
      <w:pPr>
        <w:rPr>
          <w:rFonts w:ascii="Arial" w:hAnsi="Arial" w:cs="Arial"/>
          <w:b/>
        </w:rPr>
      </w:pPr>
      <w:r w:rsidRPr="009244CF">
        <w:rPr>
          <w:rFonts w:ascii="Arial" w:hAnsi="Arial" w:cs="Arial"/>
          <w:b/>
        </w:rPr>
        <w:t>Wendy Hind – Tenant Involvement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>Elizabeth Hunston – Digital Communications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Rocco Labellarte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Chief Technology and Information 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Sarah Levete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Museum Engagement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Hagan Lewisman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Active Communities Manager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Liz Jones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ASBIT Manager &amp; DA Lead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Clare Keen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Communications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Tim Martin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Transformation Manager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David Morrell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Locality Coordinator</w:t>
      </w:r>
    </w:p>
    <w:p w:rsidR="00B77030" w:rsidRPr="00EC099B" w:rsidRDefault="00B77030" w:rsidP="00B77030">
      <w:pPr>
        <w:rPr>
          <w:rFonts w:ascii="Arial" w:hAnsi="Arial" w:cs="Arial"/>
          <w:b/>
        </w:rPr>
      </w:pPr>
      <w:r w:rsidRPr="00EC099B">
        <w:rPr>
          <w:rFonts w:ascii="Arial" w:hAnsi="Arial" w:cs="Arial"/>
          <w:b/>
        </w:rPr>
        <w:t>Calum Murdoch – Fundraising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Steph Nichols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HR Business Partner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Iona O’Carroll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Community Health Development Officer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Nerys Parry </w:t>
      </w:r>
      <w:r>
        <w:rPr>
          <w:rFonts w:ascii="Arial" w:hAnsi="Arial" w:cs="Arial"/>
        </w:rPr>
        <w:t>– Housing Strategy and Needs Manager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Matt Peachey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Economic Development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Carolyn Ploszynski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Head of Regeneration and Economy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>Hamera Plume</w:t>
      </w:r>
      <w:r>
        <w:rPr>
          <w:rFonts w:ascii="Arial" w:hAnsi="Arial" w:cs="Arial"/>
        </w:rPr>
        <w:t xml:space="preserve"> – </w:t>
      </w:r>
      <w:r w:rsidRPr="00B77030">
        <w:rPr>
          <w:rFonts w:ascii="Arial" w:hAnsi="Arial" w:cs="Arial"/>
        </w:rPr>
        <w:t>Consultation and Engagement Officer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Carly Roalf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Hub Coordinator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Will Side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Programme Coordinator for Refugees, Asylum Seekers and Migrant workers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Barbara Smolonska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Business Partner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Kate Toomey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Museum and Community Heritage Learning Manager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Claire Thompson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 xml:space="preserve">Arts Development Officer </w:t>
      </w:r>
    </w:p>
    <w:p w:rsidR="00672EEF" w:rsidRPr="00B77030" w:rsidRDefault="00672EEF" w:rsidP="00672EEF">
      <w:pPr>
        <w:rPr>
          <w:rFonts w:ascii="Arial" w:hAnsi="Arial" w:cs="Arial"/>
        </w:rPr>
      </w:pPr>
      <w:r w:rsidRPr="00B77030">
        <w:rPr>
          <w:rFonts w:ascii="Arial" w:hAnsi="Arial" w:cs="Arial"/>
        </w:rPr>
        <w:lastRenderedPageBreak/>
        <w:t xml:space="preserve">Hollie Tuckwell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Hub Coordinator</w:t>
      </w:r>
    </w:p>
    <w:p w:rsidR="00B77030" w:rsidRPr="009244CF" w:rsidRDefault="00B77030" w:rsidP="00B77030">
      <w:pPr>
        <w:rPr>
          <w:rFonts w:ascii="Arial" w:hAnsi="Arial" w:cs="Arial"/>
          <w:b/>
        </w:rPr>
      </w:pPr>
      <w:r w:rsidRPr="009244CF">
        <w:rPr>
          <w:rFonts w:ascii="Arial" w:hAnsi="Arial" w:cs="Arial"/>
          <w:b/>
        </w:rPr>
        <w:t>Leonard Sackey – Deputy Hub Coordinator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Azul Strong-Corcoran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Hub Coordinator</w:t>
      </w:r>
    </w:p>
    <w:p w:rsidR="003D152B" w:rsidRPr="00B77030" w:rsidRDefault="003D152B" w:rsidP="003D152B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Michael Woods </w:t>
      </w:r>
      <w:r>
        <w:rPr>
          <w:rFonts w:ascii="Arial" w:hAnsi="Arial" w:cs="Arial"/>
        </w:rPr>
        <w:t xml:space="preserve">– </w:t>
      </w:r>
      <w:r w:rsidRPr="00B77030">
        <w:rPr>
          <w:rFonts w:ascii="Arial" w:hAnsi="Arial" w:cs="Arial"/>
        </w:rPr>
        <w:t>Green Space Development Officer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Several OCC Staff were in addition </w:t>
      </w:r>
      <w:r>
        <w:rPr>
          <w:rFonts w:ascii="Arial" w:hAnsi="Arial" w:cs="Arial"/>
        </w:rPr>
        <w:t>consulted in two group meetings</w:t>
      </w:r>
    </w:p>
    <w:p w:rsidR="00B77030" w:rsidRPr="00B77030" w:rsidRDefault="00B77030" w:rsidP="00B77030">
      <w:pPr>
        <w:rPr>
          <w:rFonts w:ascii="Arial" w:hAnsi="Arial" w:cs="Arial"/>
          <w:b/>
        </w:rPr>
      </w:pPr>
    </w:p>
    <w:p w:rsidR="00B77030" w:rsidRPr="00B77030" w:rsidRDefault="00B77030" w:rsidP="00B77030">
      <w:pPr>
        <w:rPr>
          <w:rFonts w:ascii="Arial" w:hAnsi="Arial" w:cs="Arial"/>
          <w:b/>
        </w:rPr>
      </w:pPr>
      <w:r w:rsidRPr="00B77030">
        <w:rPr>
          <w:rFonts w:ascii="Arial" w:hAnsi="Arial" w:cs="Arial"/>
          <w:b/>
        </w:rPr>
        <w:t>Member Consultation (in advisory meetings)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Shaista AZIZ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Diko BLACKINGS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Paula DUNNE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Chris JARVIS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Katherine MILES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Ajaz REHMAN </w:t>
      </w:r>
    </w:p>
    <w:p w:rsidR="00B77030" w:rsidRPr="00B77030" w:rsidRDefault="00B77030" w:rsidP="00B77030">
      <w:pPr>
        <w:rPr>
          <w:rFonts w:ascii="Arial" w:hAnsi="Arial" w:cs="Arial"/>
        </w:rPr>
      </w:pPr>
      <w:r w:rsidRPr="00B77030">
        <w:rPr>
          <w:rFonts w:ascii="Arial" w:hAnsi="Arial" w:cs="Arial"/>
        </w:rPr>
        <w:t xml:space="preserve">Councillor Christopher SMOWTON </w:t>
      </w:r>
    </w:p>
    <w:p w:rsidR="00B21479" w:rsidRPr="008A22C6" w:rsidRDefault="00B21479" w:rsidP="00B21479"/>
    <w:sectPr w:rsidR="00B21479" w:rsidRPr="008A22C6" w:rsidSect="001F51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43" w:rsidRDefault="007F6D43" w:rsidP="00B21479">
      <w:r>
        <w:separator/>
      </w:r>
    </w:p>
  </w:endnote>
  <w:endnote w:type="continuationSeparator" w:id="0">
    <w:p w:rsidR="007F6D43" w:rsidRDefault="007F6D43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A4" w:rsidRDefault="00872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8726A4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8726A4">
      <w:rPr>
        <w:rFonts w:ascii="Arial" w:hAnsi="Arial" w:cs="Arial"/>
        <w:b/>
        <w:bCs/>
        <w:noProof/>
        <w:sz w:val="20"/>
        <w:szCs w:val="20"/>
      </w:rPr>
      <w:t>12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A4" w:rsidRDefault="0087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43" w:rsidRDefault="007F6D43" w:rsidP="00B21479">
      <w:r>
        <w:separator/>
      </w:r>
    </w:p>
  </w:footnote>
  <w:footnote w:type="continuationSeparator" w:id="0">
    <w:p w:rsidR="007F6D43" w:rsidRDefault="007F6D43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A4" w:rsidRDefault="00872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A4" w:rsidRPr="008726A4" w:rsidRDefault="008726A4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8726A4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A4" w:rsidRDefault="00872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7EF"/>
    <w:multiLevelType w:val="hybridMultilevel"/>
    <w:tmpl w:val="0C36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3FC"/>
    <w:multiLevelType w:val="hybridMultilevel"/>
    <w:tmpl w:val="EC86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70E8"/>
    <w:multiLevelType w:val="hybridMultilevel"/>
    <w:tmpl w:val="81F8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77F"/>
    <w:multiLevelType w:val="hybridMultilevel"/>
    <w:tmpl w:val="CB82F4AE"/>
    <w:lvl w:ilvl="0" w:tplc="739ED2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67DB"/>
    <w:multiLevelType w:val="hybridMultilevel"/>
    <w:tmpl w:val="FBE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7AD8"/>
    <w:multiLevelType w:val="hybridMultilevel"/>
    <w:tmpl w:val="E3AA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1192"/>
    <w:multiLevelType w:val="hybridMultilevel"/>
    <w:tmpl w:val="7FD6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4A63"/>
    <w:multiLevelType w:val="hybridMultilevel"/>
    <w:tmpl w:val="B220F9A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EE43B1C"/>
    <w:multiLevelType w:val="hybridMultilevel"/>
    <w:tmpl w:val="C862C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12CD8"/>
    <w:rsid w:val="00041903"/>
    <w:rsid w:val="0006524C"/>
    <w:rsid w:val="000700A9"/>
    <w:rsid w:val="00080562"/>
    <w:rsid w:val="00080850"/>
    <w:rsid w:val="000864FA"/>
    <w:rsid w:val="000B0D2A"/>
    <w:rsid w:val="000B4310"/>
    <w:rsid w:val="000C4259"/>
    <w:rsid w:val="000D4A06"/>
    <w:rsid w:val="000E7906"/>
    <w:rsid w:val="000F3BAB"/>
    <w:rsid w:val="00101346"/>
    <w:rsid w:val="00111DE0"/>
    <w:rsid w:val="00120373"/>
    <w:rsid w:val="00141A48"/>
    <w:rsid w:val="00142786"/>
    <w:rsid w:val="00153E45"/>
    <w:rsid w:val="001667D4"/>
    <w:rsid w:val="001A288C"/>
    <w:rsid w:val="001A6406"/>
    <w:rsid w:val="001D285B"/>
    <w:rsid w:val="001D481B"/>
    <w:rsid w:val="001F515A"/>
    <w:rsid w:val="00215A4A"/>
    <w:rsid w:val="0023354C"/>
    <w:rsid w:val="00234E4D"/>
    <w:rsid w:val="00235F04"/>
    <w:rsid w:val="00262814"/>
    <w:rsid w:val="00273E78"/>
    <w:rsid w:val="00274FC3"/>
    <w:rsid w:val="0027565B"/>
    <w:rsid w:val="002859C4"/>
    <w:rsid w:val="00293CAC"/>
    <w:rsid w:val="002B788C"/>
    <w:rsid w:val="002C293A"/>
    <w:rsid w:val="002D3056"/>
    <w:rsid w:val="00307779"/>
    <w:rsid w:val="00323BE5"/>
    <w:rsid w:val="00350A6B"/>
    <w:rsid w:val="0036005E"/>
    <w:rsid w:val="00376912"/>
    <w:rsid w:val="003B1628"/>
    <w:rsid w:val="003C02B4"/>
    <w:rsid w:val="003C118C"/>
    <w:rsid w:val="003D152B"/>
    <w:rsid w:val="003F57E2"/>
    <w:rsid w:val="004000D7"/>
    <w:rsid w:val="0041071B"/>
    <w:rsid w:val="0041386C"/>
    <w:rsid w:val="00415B2D"/>
    <w:rsid w:val="00421E85"/>
    <w:rsid w:val="00434626"/>
    <w:rsid w:val="00454337"/>
    <w:rsid w:val="00475E86"/>
    <w:rsid w:val="00494222"/>
    <w:rsid w:val="00495BA4"/>
    <w:rsid w:val="004A0B51"/>
    <w:rsid w:val="004B6C44"/>
    <w:rsid w:val="004D734E"/>
    <w:rsid w:val="004F1D5C"/>
    <w:rsid w:val="00504E43"/>
    <w:rsid w:val="0051122B"/>
    <w:rsid w:val="00511ADA"/>
    <w:rsid w:val="005129A5"/>
    <w:rsid w:val="00531D64"/>
    <w:rsid w:val="0054009D"/>
    <w:rsid w:val="00541AC0"/>
    <w:rsid w:val="005448C4"/>
    <w:rsid w:val="00546C8E"/>
    <w:rsid w:val="00550F86"/>
    <w:rsid w:val="005973F9"/>
    <w:rsid w:val="005C2D76"/>
    <w:rsid w:val="005E2614"/>
    <w:rsid w:val="005F090F"/>
    <w:rsid w:val="00607E08"/>
    <w:rsid w:val="0064088C"/>
    <w:rsid w:val="00657158"/>
    <w:rsid w:val="00672EEF"/>
    <w:rsid w:val="00677749"/>
    <w:rsid w:val="00691CCA"/>
    <w:rsid w:val="006D483D"/>
    <w:rsid w:val="006E05A3"/>
    <w:rsid w:val="007070ED"/>
    <w:rsid w:val="00715197"/>
    <w:rsid w:val="007451C4"/>
    <w:rsid w:val="00747F9C"/>
    <w:rsid w:val="00760DAE"/>
    <w:rsid w:val="00764464"/>
    <w:rsid w:val="007908F4"/>
    <w:rsid w:val="007974F6"/>
    <w:rsid w:val="007C675C"/>
    <w:rsid w:val="007E6B88"/>
    <w:rsid w:val="007E6E50"/>
    <w:rsid w:val="007F4A7D"/>
    <w:rsid w:val="007F6D43"/>
    <w:rsid w:val="0080343B"/>
    <w:rsid w:val="008117F2"/>
    <w:rsid w:val="00817AC6"/>
    <w:rsid w:val="00851289"/>
    <w:rsid w:val="00852CEE"/>
    <w:rsid w:val="0086318C"/>
    <w:rsid w:val="008726A4"/>
    <w:rsid w:val="00880CE5"/>
    <w:rsid w:val="008878A1"/>
    <w:rsid w:val="008924B3"/>
    <w:rsid w:val="008A22C6"/>
    <w:rsid w:val="008E47F8"/>
    <w:rsid w:val="009138E4"/>
    <w:rsid w:val="009244CF"/>
    <w:rsid w:val="009344AE"/>
    <w:rsid w:val="00944A56"/>
    <w:rsid w:val="00963B3C"/>
    <w:rsid w:val="00983205"/>
    <w:rsid w:val="009B0C2A"/>
    <w:rsid w:val="009B4AC3"/>
    <w:rsid w:val="009B75EE"/>
    <w:rsid w:val="009C5C20"/>
    <w:rsid w:val="009D57BC"/>
    <w:rsid w:val="009E05DE"/>
    <w:rsid w:val="009E300C"/>
    <w:rsid w:val="009E7EBA"/>
    <w:rsid w:val="009F00B3"/>
    <w:rsid w:val="009F3826"/>
    <w:rsid w:val="00A16355"/>
    <w:rsid w:val="00A165DD"/>
    <w:rsid w:val="00A179E7"/>
    <w:rsid w:val="00A238E7"/>
    <w:rsid w:val="00A46F45"/>
    <w:rsid w:val="00A5175C"/>
    <w:rsid w:val="00AA02AA"/>
    <w:rsid w:val="00AC1872"/>
    <w:rsid w:val="00AD1C56"/>
    <w:rsid w:val="00AD4D5F"/>
    <w:rsid w:val="00AE150F"/>
    <w:rsid w:val="00AE7473"/>
    <w:rsid w:val="00AF3641"/>
    <w:rsid w:val="00AF3669"/>
    <w:rsid w:val="00AF44D6"/>
    <w:rsid w:val="00AF4A2E"/>
    <w:rsid w:val="00B1240A"/>
    <w:rsid w:val="00B2056E"/>
    <w:rsid w:val="00B21479"/>
    <w:rsid w:val="00B24B10"/>
    <w:rsid w:val="00B347CB"/>
    <w:rsid w:val="00B46DEB"/>
    <w:rsid w:val="00B51D02"/>
    <w:rsid w:val="00B77030"/>
    <w:rsid w:val="00B90746"/>
    <w:rsid w:val="00BC5611"/>
    <w:rsid w:val="00BE06BA"/>
    <w:rsid w:val="00C05DB0"/>
    <w:rsid w:val="00C07F80"/>
    <w:rsid w:val="00C11DF7"/>
    <w:rsid w:val="00C17B8B"/>
    <w:rsid w:val="00C245A4"/>
    <w:rsid w:val="00C30540"/>
    <w:rsid w:val="00C44123"/>
    <w:rsid w:val="00C521F6"/>
    <w:rsid w:val="00C5402A"/>
    <w:rsid w:val="00C54136"/>
    <w:rsid w:val="00C630D3"/>
    <w:rsid w:val="00C63155"/>
    <w:rsid w:val="00C708D6"/>
    <w:rsid w:val="00C82A08"/>
    <w:rsid w:val="00C938DE"/>
    <w:rsid w:val="00CE1DAB"/>
    <w:rsid w:val="00CE4694"/>
    <w:rsid w:val="00CE7E7C"/>
    <w:rsid w:val="00D160A1"/>
    <w:rsid w:val="00D201A7"/>
    <w:rsid w:val="00D23683"/>
    <w:rsid w:val="00D40A0A"/>
    <w:rsid w:val="00D415EF"/>
    <w:rsid w:val="00D55026"/>
    <w:rsid w:val="00D9514C"/>
    <w:rsid w:val="00D95E2E"/>
    <w:rsid w:val="00DA4417"/>
    <w:rsid w:val="00DB0023"/>
    <w:rsid w:val="00DD6DCB"/>
    <w:rsid w:val="00E11983"/>
    <w:rsid w:val="00E411FE"/>
    <w:rsid w:val="00E44635"/>
    <w:rsid w:val="00E500CC"/>
    <w:rsid w:val="00E55D84"/>
    <w:rsid w:val="00E57103"/>
    <w:rsid w:val="00E93EC7"/>
    <w:rsid w:val="00EA17DB"/>
    <w:rsid w:val="00EB0742"/>
    <w:rsid w:val="00EC099B"/>
    <w:rsid w:val="00EC5B12"/>
    <w:rsid w:val="00ED20C9"/>
    <w:rsid w:val="00F00884"/>
    <w:rsid w:val="00F05530"/>
    <w:rsid w:val="00F623A7"/>
    <w:rsid w:val="00F660B2"/>
    <w:rsid w:val="00F849BF"/>
    <w:rsid w:val="00FD3A8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96086EE-FDF6-4450-8969-4CF6A84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B0023"/>
  </w:style>
  <w:style w:type="numbering" w:customStyle="1" w:styleId="StyleNumberedLeft0cmHanging075cm">
    <w:name w:val="Style Numbered Left:  0 cm Hanging:  0.75 cm"/>
    <w:rsid w:val="00DB0023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14CF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4CF"/>
    <w:rPr>
      <w:rFonts w:asciiTheme="minorHAnsi" w:eastAsia="Times New Roman" w:hAnsiTheme="minorHAns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4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fordciz.or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DBAC3D539444B43A2884B3B59FF8" ma:contentTypeVersion="6" ma:contentTypeDescription="Create a new document." ma:contentTypeScope="" ma:versionID="c5602e411205bab88a99260606972eed">
  <xsd:schema xmlns:xsd="http://www.w3.org/2001/XMLSchema" xmlns:xs="http://www.w3.org/2001/XMLSchema" xmlns:p="http://schemas.microsoft.com/office/2006/metadata/properties" xmlns:ns2="a32d5f1b-9f98-4902-be3d-45120c2155ba" xmlns:ns3="ca0c6f25-960b-4ad0-86ba-4742c0ecca1e" targetNamespace="http://schemas.microsoft.com/office/2006/metadata/properties" ma:root="true" ma:fieldsID="8409b6cfb78b6fc41480d0e7008e158e" ns2:_="" ns3:_="">
    <xsd:import namespace="a32d5f1b-9f98-4902-be3d-45120c2155ba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5f1b-9f98-4902-be3d-45120c215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7867-1ABD-4894-A3BB-E0CEEBC48F08}">
  <ds:schemaRefs>
    <ds:schemaRef ds:uri="ca0c6f25-960b-4ad0-86ba-4742c0ecca1e"/>
    <ds:schemaRef ds:uri="http://schemas.microsoft.com/office/2006/metadata/properties"/>
    <ds:schemaRef ds:uri="http://purl.org/dc/elements/1.1/"/>
    <ds:schemaRef ds:uri="a32d5f1b-9f98-4902-be3d-45120c2155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12EFF-2D7D-4531-A0E9-84B743204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EFC5-B413-433E-B17D-4B606CA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d5f1b-9f98-4902-be3d-45120c2155ba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81295-42C5-40FE-A2A0-F560921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0</TotalTime>
  <Pages>12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MITCHELL John</cp:lastModifiedBy>
  <cp:revision>3</cp:revision>
  <dcterms:created xsi:type="dcterms:W3CDTF">2021-10-14T11:27:00Z</dcterms:created>
  <dcterms:modified xsi:type="dcterms:W3CDTF">2021-10-20T11:03:00Z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0x010100CFEFDBAC3D539444B43A2884B3B59FF8</vt:lpwstr>
  </property>
</Properties>
</file>